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0574" w14:textId="77777777" w:rsidR="00E87A30" w:rsidRDefault="00E87A30" w:rsidP="00DC7D80">
      <w:pPr>
        <w:pStyle w:val="Text"/>
        <w:rPr>
          <w:b/>
          <w:color w:val="003C8A"/>
          <w:sz w:val="36"/>
          <w:szCs w:val="40"/>
          <w:lang w:val="en-GB"/>
        </w:rPr>
      </w:pPr>
      <w:bookmarkStart w:id="0" w:name="_Hlk40957024"/>
    </w:p>
    <w:p w14:paraId="435F0B1B" w14:textId="69A67A39" w:rsidR="00F963C1" w:rsidRPr="00F8668A" w:rsidRDefault="00CB2ECD" w:rsidP="00F963C1">
      <w:pPr>
        <w:pStyle w:val="Text"/>
      </w:pPr>
      <w:r w:rsidRPr="00CB2ECD">
        <w:rPr>
          <w:b/>
          <w:color w:val="003C8A"/>
          <w:sz w:val="36"/>
          <w:szCs w:val="40"/>
          <w:lang w:bidi="fr-FR"/>
        </w:rPr>
        <w:t>Une ASI Socomec</w:t>
      </w:r>
      <w:r w:rsidR="00F963C1" w:rsidRPr="0039113E">
        <w:rPr>
          <w:b/>
          <w:color w:val="003C8A"/>
          <w:sz w:val="36"/>
          <w:szCs w:val="40"/>
          <w:lang w:bidi="fr-FR"/>
        </w:rPr>
        <w:t xml:space="preserve"> reçoit le prix Global Customer Value Leadership 2022 </w:t>
      </w:r>
      <w:r w:rsidR="00F8668A">
        <w:rPr>
          <w:b/>
          <w:color w:val="003C8A"/>
          <w:sz w:val="36"/>
          <w:szCs w:val="40"/>
          <w:lang w:bidi="fr-FR"/>
        </w:rPr>
        <w:t xml:space="preserve">par </w:t>
      </w:r>
      <w:r w:rsidR="00F963C1" w:rsidRPr="0039113E">
        <w:rPr>
          <w:b/>
          <w:color w:val="003C8A"/>
          <w:sz w:val="36"/>
          <w:szCs w:val="40"/>
          <w:lang w:bidi="fr-FR"/>
        </w:rPr>
        <w:t>Frost &amp; Sullivan pour le secteur des ASI.</w:t>
      </w:r>
    </w:p>
    <w:p w14:paraId="3039EE17" w14:textId="77777777" w:rsidR="00891CCC" w:rsidRPr="00F8668A" w:rsidRDefault="00891CCC" w:rsidP="00DC7D80">
      <w:pPr>
        <w:pStyle w:val="Text"/>
      </w:pPr>
    </w:p>
    <w:p w14:paraId="396FB5AF" w14:textId="547AC1A2" w:rsidR="00DC7D80" w:rsidRPr="00F8668A" w:rsidRDefault="00DC7D80" w:rsidP="00DC7D80">
      <w:pPr>
        <w:pStyle w:val="Text"/>
      </w:pPr>
      <w:r w:rsidRPr="003E154C">
        <w:rPr>
          <w:lang w:bidi="fr-FR"/>
        </w:rPr>
        <w:t xml:space="preserve">Benfeld, </w:t>
      </w:r>
      <w:r w:rsidR="00CB2ECD">
        <w:rPr>
          <w:lang w:bidi="fr-FR"/>
        </w:rPr>
        <w:t>janvier 2023</w:t>
      </w:r>
    </w:p>
    <w:p w14:paraId="223968E5" w14:textId="19BB54E7" w:rsidR="00FD03BD" w:rsidRDefault="00FD03BD" w:rsidP="0039113E">
      <w:pPr>
        <w:pStyle w:val="Sous-titre1"/>
        <w:spacing w:line="276" w:lineRule="auto"/>
        <w:rPr>
          <w:i/>
        </w:rPr>
      </w:pPr>
    </w:p>
    <w:p w14:paraId="30CEBB5A" w14:textId="0A0A1FE3" w:rsidR="005C46A7" w:rsidRDefault="00FD03BD" w:rsidP="00E87A30">
      <w:pPr>
        <w:pStyle w:val="Sous-titre1"/>
        <w:spacing w:line="276" w:lineRule="auto"/>
        <w:rPr>
          <w:i/>
          <w:lang w:val="fr-FR"/>
        </w:rPr>
      </w:pPr>
      <w:r>
        <w:rPr>
          <w:i/>
          <w:lang w:val="fr-FR" w:bidi="fr-FR"/>
        </w:rPr>
        <w:t>Pour Socomec, l’innovation découle de l’anticipation des besoins des clients. C’est ce qui lui permet de combler les lacunes du marché de manière cohérente avec des so</w:t>
      </w:r>
      <w:r w:rsidR="00CB2ECD">
        <w:rPr>
          <w:i/>
          <w:lang w:val="fr-FR" w:bidi="fr-FR"/>
        </w:rPr>
        <w:t xml:space="preserve">lutions optimales. Socomec plaçait déjà la barre haute avec </w:t>
      </w:r>
      <w:proofErr w:type="spellStart"/>
      <w:r>
        <w:rPr>
          <w:i/>
          <w:lang w:val="fr-FR" w:bidi="fr-FR"/>
        </w:rPr>
        <w:t>Modulys</w:t>
      </w:r>
      <w:proofErr w:type="spellEnd"/>
      <w:r>
        <w:rPr>
          <w:i/>
          <w:lang w:val="fr-FR" w:bidi="fr-FR"/>
        </w:rPr>
        <w:t> XL</w:t>
      </w:r>
      <w:r w:rsidR="00CB2ECD">
        <w:rPr>
          <w:i/>
          <w:lang w:val="fr-FR" w:bidi="fr-FR"/>
        </w:rPr>
        <w:t>,</w:t>
      </w:r>
      <w:r w:rsidR="00CB2ECD" w:rsidRPr="00CB2ECD">
        <w:rPr>
          <w:i/>
          <w:lang w:val="fr-FR" w:bidi="fr-FR"/>
        </w:rPr>
        <w:t xml:space="preserve"> </w:t>
      </w:r>
      <w:r w:rsidR="00CB2ECD">
        <w:rPr>
          <w:i/>
          <w:lang w:val="fr-FR" w:bidi="fr-FR"/>
        </w:rPr>
        <w:t xml:space="preserve">qui lui a permis d’obtenir ce prix en 2020. L’entreprise </w:t>
      </w:r>
      <w:r>
        <w:rPr>
          <w:i/>
          <w:lang w:val="fr-FR" w:bidi="fr-FR"/>
        </w:rPr>
        <w:t xml:space="preserve">place </w:t>
      </w:r>
      <w:r w:rsidR="00CB2ECD">
        <w:rPr>
          <w:i/>
          <w:lang w:val="fr-FR" w:bidi="fr-FR"/>
        </w:rPr>
        <w:t xml:space="preserve">la barre </w:t>
      </w:r>
      <w:r>
        <w:rPr>
          <w:i/>
          <w:lang w:val="fr-FR" w:bidi="fr-FR"/>
        </w:rPr>
        <w:t xml:space="preserve">encore plus haut grâce à sa dernière version du </w:t>
      </w:r>
      <w:proofErr w:type="spellStart"/>
      <w:r>
        <w:rPr>
          <w:i/>
          <w:lang w:val="fr-FR" w:bidi="fr-FR"/>
        </w:rPr>
        <w:t>Delphys</w:t>
      </w:r>
      <w:proofErr w:type="spellEnd"/>
      <w:r>
        <w:rPr>
          <w:i/>
          <w:lang w:val="fr-FR" w:bidi="fr-FR"/>
        </w:rPr>
        <w:t> XL en répondant aux besoins spécifiques des clients dan</w:t>
      </w:r>
      <w:r w:rsidR="00B8581D">
        <w:rPr>
          <w:i/>
          <w:lang w:val="fr-FR" w:bidi="fr-FR"/>
        </w:rPr>
        <w:t xml:space="preserve">s le segment de la colocation. </w:t>
      </w:r>
      <w:r w:rsidR="00CB2ECD">
        <w:rPr>
          <w:i/>
          <w:lang w:val="fr-FR" w:bidi="fr-FR"/>
        </w:rPr>
        <w:t>Frost &amp; Sullivan reconnaît les</w:t>
      </w:r>
      <w:r>
        <w:rPr>
          <w:i/>
          <w:lang w:val="fr-FR" w:bidi="fr-FR"/>
        </w:rPr>
        <w:t xml:space="preserve"> nouvelle</w:t>
      </w:r>
      <w:r w:rsidR="00CB2ECD">
        <w:rPr>
          <w:i/>
          <w:lang w:val="fr-FR" w:bidi="fr-FR"/>
        </w:rPr>
        <w:t>s</w:t>
      </w:r>
      <w:r>
        <w:rPr>
          <w:i/>
          <w:lang w:val="fr-FR" w:bidi="fr-FR"/>
        </w:rPr>
        <w:t xml:space="preserve"> norme</w:t>
      </w:r>
      <w:r w:rsidR="00CB2ECD">
        <w:rPr>
          <w:i/>
          <w:lang w:val="fr-FR" w:bidi="fr-FR"/>
        </w:rPr>
        <w:t>s</w:t>
      </w:r>
      <w:r>
        <w:rPr>
          <w:i/>
          <w:lang w:val="fr-FR" w:bidi="fr-FR"/>
        </w:rPr>
        <w:t xml:space="preserve"> établie</w:t>
      </w:r>
      <w:r w:rsidR="00CB2ECD">
        <w:rPr>
          <w:i/>
          <w:lang w:val="fr-FR" w:bidi="fr-FR"/>
        </w:rPr>
        <w:t xml:space="preserve">s par </w:t>
      </w:r>
      <w:proofErr w:type="spellStart"/>
      <w:r>
        <w:rPr>
          <w:i/>
          <w:lang w:val="fr-FR" w:bidi="fr-FR"/>
        </w:rPr>
        <w:t>Delphys</w:t>
      </w:r>
      <w:proofErr w:type="spellEnd"/>
      <w:r>
        <w:rPr>
          <w:i/>
          <w:lang w:val="fr-FR" w:bidi="fr-FR"/>
        </w:rPr>
        <w:t xml:space="preserve"> XL </w:t>
      </w:r>
      <w:r w:rsidR="00CB2ECD">
        <w:rPr>
          <w:i/>
          <w:lang w:val="fr-FR" w:bidi="fr-FR"/>
        </w:rPr>
        <w:t xml:space="preserve">qui est récompensé par le prix </w:t>
      </w:r>
      <w:r>
        <w:rPr>
          <w:i/>
          <w:lang w:val="fr-FR" w:bidi="fr-FR"/>
        </w:rPr>
        <w:t>« Global Customer Value Leadership » pour 2022.</w:t>
      </w:r>
    </w:p>
    <w:p w14:paraId="0AD3447A" w14:textId="77777777" w:rsidR="00B8581D" w:rsidRPr="00B8581D" w:rsidRDefault="00B8581D" w:rsidP="00E87A30">
      <w:pPr>
        <w:pStyle w:val="Sous-titre1"/>
        <w:spacing w:line="276" w:lineRule="auto"/>
        <w:rPr>
          <w:i/>
          <w:lang w:val="fr-FR"/>
        </w:rPr>
      </w:pPr>
    </w:p>
    <w:p w14:paraId="05F62DA3" w14:textId="5F506E68" w:rsidR="001916F1" w:rsidRPr="00F8668A" w:rsidRDefault="00AE1FBE" w:rsidP="00741A79">
      <w:pPr>
        <w:pStyle w:val="Sous-titre1"/>
        <w:spacing w:line="360" w:lineRule="auto"/>
        <w:rPr>
          <w:rFonts w:asciiTheme="minorHAnsi" w:hAnsiTheme="minorHAnsi" w:cstheme="minorHAnsi"/>
          <w:b w:val="0"/>
          <w:lang w:val="fr-FR"/>
        </w:rPr>
      </w:pPr>
      <w:r>
        <w:rPr>
          <w:rFonts w:asciiTheme="minorHAnsi" w:hAnsiTheme="minorHAnsi" w:cstheme="minorHAnsi"/>
          <w:b w:val="0"/>
          <w:lang w:val="fr-FR" w:bidi="fr-FR"/>
        </w:rPr>
        <w:t xml:space="preserve">Socomec jouit d’une riche histoire en matière d’innovation et met l’accent sur la durabilité, et son dernier appareil, le DELPHYS XL, est basé sur son expertise de la conversion d’énergie, de la commutation et de la surveillance. Cette solution est le fruit d’une réponse aux défis rencontrés par plusieurs infrastructures de puissance de </w:t>
      </w:r>
      <w:r w:rsidR="00CB2ECD">
        <w:rPr>
          <w:rFonts w:asciiTheme="minorHAnsi" w:hAnsiTheme="minorHAnsi" w:cstheme="minorHAnsi"/>
          <w:b w:val="0"/>
          <w:lang w:val="fr-FR" w:bidi="fr-FR"/>
        </w:rPr>
        <w:t>Data Center</w:t>
      </w:r>
      <w:r>
        <w:rPr>
          <w:rFonts w:asciiTheme="minorHAnsi" w:hAnsiTheme="minorHAnsi" w:cstheme="minorHAnsi"/>
          <w:b w:val="0"/>
          <w:lang w:val="fr-FR" w:bidi="fr-FR"/>
        </w:rPr>
        <w:t xml:space="preserve"> et d’une partie de l’activité de développement de produits dans la gamme des ASI qui dessert spécif</w:t>
      </w:r>
      <w:r w:rsidR="00CB2ECD">
        <w:rPr>
          <w:rFonts w:asciiTheme="minorHAnsi" w:hAnsiTheme="minorHAnsi" w:cstheme="minorHAnsi"/>
          <w:b w:val="0"/>
          <w:lang w:val="fr-FR" w:bidi="fr-FR"/>
        </w:rPr>
        <w:t xml:space="preserve">iquement le segment des grands Data </w:t>
      </w:r>
      <w:proofErr w:type="spellStart"/>
      <w:r w:rsidR="00CB2ECD">
        <w:rPr>
          <w:rFonts w:asciiTheme="minorHAnsi" w:hAnsiTheme="minorHAnsi" w:cstheme="minorHAnsi"/>
          <w:b w:val="0"/>
          <w:lang w:val="fr-FR" w:bidi="fr-FR"/>
        </w:rPr>
        <w:t>Ce</w:t>
      </w:r>
      <w:r>
        <w:rPr>
          <w:rFonts w:asciiTheme="minorHAnsi" w:hAnsiTheme="minorHAnsi" w:cstheme="minorHAnsi"/>
          <w:b w:val="0"/>
          <w:lang w:val="fr-FR" w:bidi="fr-FR"/>
        </w:rPr>
        <w:t>nters</w:t>
      </w:r>
      <w:proofErr w:type="spellEnd"/>
      <w:r>
        <w:rPr>
          <w:rFonts w:asciiTheme="minorHAnsi" w:hAnsiTheme="minorHAnsi" w:cstheme="minorHAnsi"/>
          <w:b w:val="0"/>
          <w:lang w:val="fr-FR" w:bidi="fr-FR"/>
        </w:rPr>
        <w:t xml:space="preserve"> de colocation. L’engagement et le dévouement à comprendre les défis liés aux </w:t>
      </w:r>
      <w:proofErr w:type="gramStart"/>
      <w:r>
        <w:rPr>
          <w:rFonts w:asciiTheme="minorHAnsi" w:hAnsiTheme="minorHAnsi" w:cstheme="minorHAnsi"/>
          <w:b w:val="0"/>
          <w:lang w:val="fr-FR" w:bidi="fr-FR"/>
        </w:rPr>
        <w:t>différents</w:t>
      </w:r>
      <w:proofErr w:type="gramEnd"/>
      <w:r>
        <w:rPr>
          <w:rFonts w:asciiTheme="minorHAnsi" w:hAnsiTheme="minorHAnsi" w:cstheme="minorHAnsi"/>
          <w:b w:val="0"/>
          <w:lang w:val="fr-FR" w:bidi="fr-FR"/>
        </w:rPr>
        <w:t xml:space="preserve"> types de distribution et d’architecture des chaînes d’alimentation critique, puis à les relever de manière globale sont au cœur des efforts d’innovation de Socomec.</w:t>
      </w:r>
    </w:p>
    <w:p w14:paraId="7A005751" w14:textId="653B0094" w:rsidR="00F17D7F" w:rsidRPr="00F8668A" w:rsidRDefault="00F17D7F" w:rsidP="00741A79">
      <w:pPr>
        <w:pStyle w:val="Sous-titre1"/>
        <w:spacing w:line="360" w:lineRule="auto"/>
        <w:rPr>
          <w:rFonts w:asciiTheme="minorHAnsi" w:hAnsiTheme="minorHAnsi" w:cstheme="minorHAnsi"/>
          <w:b w:val="0"/>
          <w:lang w:val="fr-FR"/>
        </w:rPr>
      </w:pPr>
      <w:r w:rsidRPr="00741A79">
        <w:rPr>
          <w:rFonts w:asciiTheme="minorHAnsi" w:hAnsiTheme="minorHAnsi" w:cstheme="minorHAnsi"/>
          <w:b w:val="0"/>
          <w:lang w:val="fr-FR" w:bidi="fr-FR"/>
        </w:rPr>
        <w:t>Née de la volonté d’améliorer l’expérience utilisateur et de répondre aux besoins non satisfaits des clients, notamment en termes de gestion des risques et de redondance au sein des installations de colocation, la dernière innovation de l’entreprise garantit les plus hauts niveaux de disponibilité et de continuité grâce à un système ASI tolérant aux pannes conçu pour enrichir encore la fiabilité de l’ASI</w:t>
      </w:r>
      <w:r w:rsidR="00CE1F88" w:rsidRPr="0039113E">
        <w:rPr>
          <w:color w:val="auto"/>
          <w:lang w:val="fr-FR" w:bidi="fr-FR"/>
        </w:rPr>
        <w:t xml:space="preserve">. </w:t>
      </w:r>
      <w:r w:rsidRPr="0039113E">
        <w:rPr>
          <w:rFonts w:asciiTheme="minorHAnsi" w:hAnsiTheme="minorHAnsi" w:cstheme="minorHAnsi"/>
          <w:b w:val="0"/>
          <w:color w:val="auto"/>
          <w:lang w:val="fr-FR" w:bidi="fr-FR"/>
        </w:rPr>
        <w:t>Le système permet aux utilisateurs de gérer toute éventualité basée sur une redondance intrinsèque, ainsi que ses activités de maintenance simples et sans risque, qui favorisent un temps de réparation moyen limité.</w:t>
      </w:r>
    </w:p>
    <w:p w14:paraId="7A22AE97" w14:textId="799DB23B" w:rsidR="00741A79" w:rsidRPr="00F8668A" w:rsidRDefault="00741A79" w:rsidP="00741A79">
      <w:pPr>
        <w:spacing w:line="360" w:lineRule="auto"/>
        <w:rPr>
          <w:rFonts w:cstheme="minorHAnsi"/>
          <w:lang w:val="fr-FR"/>
        </w:rPr>
      </w:pPr>
      <w:r w:rsidRPr="00741A79">
        <w:rPr>
          <w:rFonts w:cstheme="minorHAnsi"/>
          <w:lang w:val="fr-FR" w:bidi="fr-FR"/>
        </w:rPr>
        <w:t>Chaque année, à la suite de recherches et d’analyses approfondies, l’organisme indépendant Frost &amp; Sullivan sélectionne des entreprises et des produits de pointe qui font preuve d’excellence en matière d’innovation et qui tirent parti des technologies de développement, offrant une valeur réelle et des avantages évidents tout en soutenant le retour sur investissement des clients.</w:t>
      </w:r>
    </w:p>
    <w:p w14:paraId="09316CF9" w14:textId="77777777" w:rsidR="004F7F53" w:rsidRDefault="004F7F53">
      <w:pPr>
        <w:rPr>
          <w:rFonts w:cstheme="minorHAnsi"/>
          <w:b/>
          <w:lang w:val="fr-FR" w:bidi="fr-FR"/>
        </w:rPr>
      </w:pPr>
      <w:r>
        <w:rPr>
          <w:rFonts w:cstheme="minorHAnsi"/>
          <w:b/>
          <w:lang w:val="fr-FR" w:bidi="fr-FR"/>
        </w:rPr>
        <w:br w:type="page"/>
      </w:r>
    </w:p>
    <w:p w14:paraId="1F90D3EA" w14:textId="16F9D372" w:rsidR="000B111B" w:rsidRPr="00F8668A" w:rsidRDefault="000B111B" w:rsidP="00741A79">
      <w:pPr>
        <w:spacing w:line="360" w:lineRule="auto"/>
        <w:rPr>
          <w:rFonts w:cstheme="minorHAnsi"/>
          <w:b/>
          <w:lang w:val="fr-FR"/>
        </w:rPr>
      </w:pPr>
      <w:r w:rsidRPr="000B111B">
        <w:rPr>
          <w:rFonts w:cstheme="minorHAnsi"/>
          <w:b/>
          <w:lang w:val="fr-FR" w:bidi="fr-FR"/>
        </w:rPr>
        <w:lastRenderedPageBreak/>
        <w:t>Une solution révolutionnaire, avec une interopérabilité des chaînes critiques</w:t>
      </w:r>
    </w:p>
    <w:p w14:paraId="121E71A1" w14:textId="05071F1C" w:rsidR="00F17D7F" w:rsidRPr="00F8668A" w:rsidRDefault="00D74F6B" w:rsidP="00741A79">
      <w:pPr>
        <w:pStyle w:val="Default"/>
        <w:spacing w:line="360" w:lineRule="auto"/>
        <w:rPr>
          <w:rFonts w:asciiTheme="minorHAnsi" w:hAnsiTheme="minorHAnsi" w:cstheme="minorHAnsi"/>
          <w:color w:val="auto"/>
          <w:sz w:val="22"/>
          <w:szCs w:val="22"/>
          <w:lang w:val="fr-FR"/>
        </w:rPr>
      </w:pPr>
      <w:r>
        <w:rPr>
          <w:rFonts w:asciiTheme="minorHAnsi" w:hAnsiTheme="minorHAnsi" w:cstheme="minorHAnsi"/>
          <w:color w:val="auto"/>
          <w:sz w:val="22"/>
          <w:szCs w:val="22"/>
          <w:lang w:val="fr-FR" w:bidi="fr-FR"/>
        </w:rPr>
        <w:t>La conception unique de</w:t>
      </w:r>
      <w:r w:rsidR="00F17D7F" w:rsidRPr="00741A79">
        <w:rPr>
          <w:rFonts w:asciiTheme="minorHAnsi" w:hAnsiTheme="minorHAnsi" w:cstheme="minorHAnsi"/>
          <w:color w:val="auto"/>
          <w:sz w:val="22"/>
          <w:szCs w:val="22"/>
          <w:lang w:val="fr-FR" w:bidi="fr-FR"/>
        </w:rPr>
        <w:t xml:space="preserve"> DELPHYS XL, combinée à une interopérabilité assurée de la chaîne critique, a abouti à « une solution révolutionnaire conduisant finalement à une meilleure performance du système et à une expérience client inégalée », selon Frost &amp; Sullivan. </w:t>
      </w:r>
      <w:proofErr w:type="spellStart"/>
      <w:r w:rsidR="00F17D7F" w:rsidRPr="00741A79">
        <w:rPr>
          <w:rFonts w:asciiTheme="minorHAnsi" w:hAnsiTheme="minorHAnsi" w:cstheme="minorHAnsi"/>
          <w:color w:val="auto"/>
          <w:sz w:val="22"/>
          <w:szCs w:val="22"/>
          <w:lang w:val="fr-FR" w:bidi="fr-FR"/>
        </w:rPr>
        <w:t>Gautham</w:t>
      </w:r>
      <w:proofErr w:type="spellEnd"/>
      <w:r w:rsidR="00F17D7F" w:rsidRPr="00741A79">
        <w:rPr>
          <w:rFonts w:asciiTheme="minorHAnsi" w:hAnsiTheme="minorHAnsi" w:cstheme="minorHAnsi"/>
          <w:color w:val="auto"/>
          <w:sz w:val="22"/>
          <w:szCs w:val="22"/>
          <w:lang w:val="fr-FR" w:bidi="fr-FR"/>
        </w:rPr>
        <w:t> </w:t>
      </w:r>
      <w:proofErr w:type="spellStart"/>
      <w:r w:rsidR="00F17D7F" w:rsidRPr="00741A79">
        <w:rPr>
          <w:rFonts w:asciiTheme="minorHAnsi" w:hAnsiTheme="minorHAnsi" w:cstheme="minorHAnsi"/>
          <w:color w:val="auto"/>
          <w:sz w:val="22"/>
          <w:szCs w:val="22"/>
          <w:lang w:val="fr-FR" w:bidi="fr-FR"/>
        </w:rPr>
        <w:t>Gnanajothi</w:t>
      </w:r>
      <w:proofErr w:type="spellEnd"/>
      <w:r w:rsidR="00F17D7F" w:rsidRPr="00741A79">
        <w:rPr>
          <w:rFonts w:asciiTheme="minorHAnsi" w:hAnsiTheme="minorHAnsi" w:cstheme="minorHAnsi"/>
          <w:color w:val="auto"/>
          <w:sz w:val="22"/>
          <w:szCs w:val="22"/>
          <w:lang w:val="fr-FR" w:bidi="fr-FR"/>
        </w:rPr>
        <w:t>, vice-président de la recherche chez Frost &amp; Sullivan explique que « le moteur de cette approche avant-gardiste est l’excellence technologique de l’entreprise en matière “d’interopérabilité des chaînes critiques”. Socomec peut assurer une coordination transparente entre le système ASI et le STS au sein d’une chaîne d’alimentation critique, garantissant ainsi la stabilité globale du système lors des changements de mode de fonctionnement. En outre, il empêche également la cascade d’événements anormaux. »</w:t>
      </w:r>
    </w:p>
    <w:p w14:paraId="34F9FB1D" w14:textId="77777777" w:rsidR="000B111B" w:rsidRPr="00F8668A" w:rsidRDefault="000B111B" w:rsidP="00741A79">
      <w:pPr>
        <w:pStyle w:val="Default"/>
        <w:spacing w:line="360" w:lineRule="auto"/>
        <w:rPr>
          <w:rFonts w:asciiTheme="minorHAnsi" w:hAnsiTheme="minorHAnsi" w:cstheme="minorHAnsi"/>
          <w:color w:val="auto"/>
          <w:sz w:val="22"/>
          <w:szCs w:val="22"/>
          <w:lang w:val="fr-FR"/>
        </w:rPr>
      </w:pPr>
    </w:p>
    <w:p w14:paraId="75236844" w14:textId="77777777" w:rsidR="000B111B" w:rsidRPr="00F8668A" w:rsidRDefault="000B111B" w:rsidP="00741A79">
      <w:pPr>
        <w:pStyle w:val="Default"/>
        <w:spacing w:line="360" w:lineRule="auto"/>
        <w:rPr>
          <w:rFonts w:asciiTheme="minorHAnsi" w:hAnsiTheme="minorHAnsi" w:cstheme="minorHAnsi"/>
          <w:b/>
          <w:color w:val="auto"/>
          <w:sz w:val="22"/>
          <w:szCs w:val="22"/>
          <w:lang w:val="fr-FR"/>
        </w:rPr>
      </w:pPr>
      <w:r w:rsidRPr="000B111B">
        <w:rPr>
          <w:rFonts w:asciiTheme="minorHAnsi" w:hAnsiTheme="minorHAnsi" w:cstheme="minorHAnsi"/>
          <w:b/>
          <w:color w:val="auto"/>
          <w:sz w:val="22"/>
          <w:szCs w:val="22"/>
          <w:lang w:val="fr-FR" w:bidi="fr-FR"/>
        </w:rPr>
        <w:t>Donner aux utilisateurs les moyens d’atteindre une disponibilité inégalée</w:t>
      </w:r>
    </w:p>
    <w:p w14:paraId="6A63E5A6" w14:textId="77777777" w:rsidR="001916F1" w:rsidRPr="00F8668A" w:rsidRDefault="001916F1" w:rsidP="00741A79">
      <w:pPr>
        <w:pStyle w:val="Default"/>
        <w:spacing w:line="360" w:lineRule="auto"/>
        <w:rPr>
          <w:rFonts w:asciiTheme="minorHAnsi" w:hAnsiTheme="minorHAnsi" w:cstheme="minorHAnsi"/>
          <w:color w:val="auto"/>
          <w:sz w:val="22"/>
          <w:szCs w:val="22"/>
          <w:lang w:val="fr-FR"/>
        </w:rPr>
      </w:pPr>
    </w:p>
    <w:p w14:paraId="156DEF58" w14:textId="10A99B64" w:rsidR="00741A79" w:rsidRPr="00F8668A" w:rsidRDefault="00741A79" w:rsidP="00741A79">
      <w:pPr>
        <w:pStyle w:val="Sous-titre1"/>
        <w:spacing w:line="360" w:lineRule="auto"/>
        <w:rPr>
          <w:rFonts w:asciiTheme="minorHAnsi" w:hAnsiTheme="minorHAnsi" w:cstheme="minorHAnsi"/>
          <w:b w:val="0"/>
          <w:color w:val="auto"/>
          <w:lang w:val="fr-FR"/>
        </w:rPr>
      </w:pPr>
      <w:r w:rsidRPr="00741A79">
        <w:rPr>
          <w:rFonts w:asciiTheme="minorHAnsi" w:hAnsiTheme="minorHAnsi" w:cstheme="minorHAnsi"/>
          <w:b w:val="0"/>
          <w:color w:val="auto"/>
          <w:lang w:val="fr-FR" w:bidi="fr-FR"/>
        </w:rPr>
        <w:t xml:space="preserve">DELPHYS XL intègre 1200 kW </w:t>
      </w:r>
      <w:r w:rsidR="00D74F6B">
        <w:rPr>
          <w:rFonts w:asciiTheme="minorHAnsi" w:hAnsiTheme="minorHAnsi" w:cstheme="minorHAnsi"/>
          <w:b w:val="0"/>
          <w:color w:val="auto"/>
          <w:lang w:val="fr-FR" w:bidi="fr-FR"/>
        </w:rPr>
        <w:t xml:space="preserve">dans un design compact et optimisé </w:t>
      </w:r>
      <w:r w:rsidRPr="00741A79">
        <w:rPr>
          <w:rFonts w:asciiTheme="minorHAnsi" w:hAnsiTheme="minorHAnsi" w:cstheme="minorHAnsi"/>
          <w:b w:val="0"/>
          <w:color w:val="auto"/>
          <w:lang w:val="fr-FR" w:bidi="fr-FR"/>
        </w:rPr>
        <w:t>et a été conçu pour assurer la continuité de l’alimentation. Ce système fiable et tolérant aux pannes garantit une disponibilité et une continuité optimales pour les applications critiques, tout en réduisant le coût total de possession basé sur de multiples fonctionnalités et modes de fonctionnement. Combinées à un entretien numérique à distance, les opérations de dépannage sont rapides et faciles à exécuter.</w:t>
      </w:r>
    </w:p>
    <w:p w14:paraId="3583B4DF" w14:textId="765F1A1F" w:rsidR="00741A79" w:rsidRPr="00F8668A" w:rsidRDefault="002D1185" w:rsidP="00741A79">
      <w:pPr>
        <w:autoSpaceDE w:val="0"/>
        <w:autoSpaceDN w:val="0"/>
        <w:adjustRightInd w:val="0"/>
        <w:spacing w:after="0" w:line="360" w:lineRule="auto"/>
        <w:rPr>
          <w:rFonts w:cstheme="minorHAnsi"/>
          <w:lang w:val="fr-FR"/>
        </w:rPr>
      </w:pPr>
      <w:r>
        <w:rPr>
          <w:rFonts w:cstheme="minorHAnsi"/>
          <w:color w:val="000000"/>
          <w:lang w:val="fr-FR" w:bidi="fr-FR"/>
        </w:rPr>
        <w:t>Selon un rapport de Frost &amp; Sullivan, « construit sur sa plateforme XL éprouvée sur le terrain, le DELPHYS XL offre une résilience et une disponibilité inégalées, tout en mettant l’accent sur la redondance intrinsèque, ce qui renforce finalement la fiabilité des produits grâce au meilleur temps moyen entre pannes du secteur. Le produit est conçu pour offrir les plus hauts niveaux de protection dans des conditions de fonctionnement types en éliminant tous les points de défaillance uniques potentiels associés aux systèmes ASI traditionnels. Le DELPHYS XL exploite des briques de conversion d’énergie autosuffisantes qui sont intégrées à la fonction avancée de déconnexion sélective de Socomec. Cette fonction unique isole et contient tout défaut critique (qu’il soit mécanique ou électrique) à l’intérieur des sous-ensembles affectés, protégeant la charge critique grâce aux convertisseurs de puissance restants. »</w:t>
      </w:r>
    </w:p>
    <w:p w14:paraId="18BEA7CE" w14:textId="77777777" w:rsidR="00741A79" w:rsidRPr="00F8668A" w:rsidRDefault="00741A79" w:rsidP="00741A79">
      <w:pPr>
        <w:autoSpaceDE w:val="0"/>
        <w:autoSpaceDN w:val="0"/>
        <w:adjustRightInd w:val="0"/>
        <w:spacing w:after="0" w:line="360" w:lineRule="auto"/>
        <w:rPr>
          <w:rFonts w:cstheme="minorHAnsi"/>
          <w:lang w:val="fr-FR"/>
        </w:rPr>
      </w:pPr>
    </w:p>
    <w:p w14:paraId="653846AD" w14:textId="4AFC6142" w:rsidR="00741A79" w:rsidRPr="00F8668A" w:rsidRDefault="00F70A50" w:rsidP="00741A79">
      <w:pPr>
        <w:pStyle w:val="Default"/>
        <w:spacing w:line="360" w:lineRule="auto"/>
        <w:rPr>
          <w:rFonts w:asciiTheme="minorHAnsi" w:hAnsiTheme="minorHAnsi" w:cstheme="minorHAnsi"/>
          <w:sz w:val="22"/>
          <w:szCs w:val="22"/>
          <w:lang w:val="fr-FR"/>
        </w:rPr>
      </w:pPr>
      <w:r>
        <w:rPr>
          <w:rFonts w:asciiTheme="minorHAnsi" w:hAnsiTheme="minorHAnsi" w:cstheme="minorHAnsi"/>
          <w:sz w:val="22"/>
          <w:szCs w:val="22"/>
          <w:lang w:val="fr-FR" w:bidi="fr-FR"/>
        </w:rPr>
        <w:t>Le rapport ajoute que « Socomec a équipé son DELPHYS XL du con</w:t>
      </w:r>
      <w:r w:rsidR="00B40A72">
        <w:rPr>
          <w:rFonts w:asciiTheme="minorHAnsi" w:hAnsiTheme="minorHAnsi" w:cstheme="minorHAnsi"/>
          <w:sz w:val="22"/>
          <w:szCs w:val="22"/>
          <w:lang w:val="fr-FR" w:bidi="fr-FR"/>
        </w:rPr>
        <w:t>cept de briques extractibles, d’un</w:t>
      </w:r>
      <w:r>
        <w:rPr>
          <w:rFonts w:asciiTheme="minorHAnsi" w:hAnsiTheme="minorHAnsi" w:cstheme="minorHAnsi"/>
          <w:sz w:val="22"/>
          <w:szCs w:val="22"/>
          <w:lang w:val="fr-FR" w:bidi="fr-FR"/>
        </w:rPr>
        <w:t xml:space="preserve"> système avancé de déconnexion sélective, de la capacité de ségrégation des défauts, du mode de conversion intelligent, de la gestion avancée des groupes électrogènes et de services numériques innovants. Bien que le mode de conversion intelligent du DELPHYS XL offre des rendements de pointe allant jusqu’à 99 %, sans sacrifier la disponibilité de l’énergie, un </w:t>
      </w:r>
      <w:bookmarkStart w:id="1" w:name="_GoBack"/>
      <w:bookmarkEnd w:id="1"/>
      <w:r>
        <w:rPr>
          <w:rFonts w:asciiTheme="minorHAnsi" w:hAnsiTheme="minorHAnsi" w:cstheme="minorHAnsi"/>
          <w:sz w:val="22"/>
          <w:szCs w:val="22"/>
          <w:lang w:val="fr-FR" w:bidi="fr-FR"/>
        </w:rPr>
        <w:t xml:space="preserve">différenciateur clé le rend unique dans le sens où il ne se contente pas de prendre en compte les exigences de charge, il va au-delà en tenant compte de l’architecture appliquée des data </w:t>
      </w:r>
      <w:proofErr w:type="spellStart"/>
      <w:r>
        <w:rPr>
          <w:rFonts w:asciiTheme="minorHAnsi" w:hAnsiTheme="minorHAnsi" w:cstheme="minorHAnsi"/>
          <w:sz w:val="22"/>
          <w:szCs w:val="22"/>
          <w:lang w:val="fr-FR" w:bidi="fr-FR"/>
        </w:rPr>
        <w:t>centers</w:t>
      </w:r>
      <w:proofErr w:type="spellEnd"/>
      <w:r>
        <w:rPr>
          <w:rFonts w:asciiTheme="minorHAnsi" w:hAnsiTheme="minorHAnsi" w:cstheme="minorHAnsi"/>
          <w:sz w:val="22"/>
          <w:szCs w:val="22"/>
          <w:lang w:val="fr-FR" w:bidi="fr-FR"/>
        </w:rPr>
        <w:t xml:space="preserve"> de colocation qui exploitent un système de transfert statique (STS) en aval. »</w:t>
      </w:r>
    </w:p>
    <w:p w14:paraId="3AFC4792" w14:textId="77777777" w:rsidR="000B111B" w:rsidRPr="00F8668A" w:rsidRDefault="000B111B" w:rsidP="00741A79">
      <w:pPr>
        <w:pStyle w:val="Default"/>
        <w:spacing w:line="360" w:lineRule="auto"/>
        <w:rPr>
          <w:rFonts w:asciiTheme="minorHAnsi" w:hAnsiTheme="minorHAnsi" w:cstheme="minorHAnsi"/>
          <w:sz w:val="22"/>
          <w:szCs w:val="22"/>
          <w:lang w:val="fr-FR"/>
        </w:rPr>
      </w:pPr>
    </w:p>
    <w:p w14:paraId="2FA29928" w14:textId="77777777" w:rsidR="004F7F53" w:rsidRDefault="004F7F53">
      <w:pPr>
        <w:rPr>
          <w:rFonts w:cstheme="minorHAnsi"/>
          <w:b/>
          <w:color w:val="000000"/>
          <w:lang w:val="fr-FR" w:bidi="fr-FR"/>
        </w:rPr>
      </w:pPr>
      <w:r>
        <w:rPr>
          <w:rFonts w:cstheme="minorHAnsi"/>
          <w:b/>
          <w:lang w:val="fr-FR" w:bidi="fr-FR"/>
        </w:rPr>
        <w:br w:type="page"/>
      </w:r>
    </w:p>
    <w:p w14:paraId="7B527504" w14:textId="482E348B" w:rsidR="000B111B" w:rsidRPr="00F8668A" w:rsidRDefault="000B111B" w:rsidP="00741A79">
      <w:pPr>
        <w:pStyle w:val="Default"/>
        <w:spacing w:line="360" w:lineRule="auto"/>
        <w:rPr>
          <w:rFonts w:asciiTheme="minorHAnsi" w:hAnsiTheme="minorHAnsi" w:cstheme="minorHAnsi"/>
          <w:b/>
          <w:sz w:val="22"/>
          <w:szCs w:val="22"/>
          <w:lang w:val="fr-FR"/>
        </w:rPr>
      </w:pPr>
      <w:r w:rsidRPr="000B111B">
        <w:rPr>
          <w:rFonts w:asciiTheme="minorHAnsi" w:hAnsiTheme="minorHAnsi" w:cstheme="minorHAnsi"/>
          <w:b/>
          <w:sz w:val="22"/>
          <w:szCs w:val="22"/>
          <w:lang w:val="fr-FR" w:bidi="fr-FR"/>
        </w:rPr>
        <w:lastRenderedPageBreak/>
        <w:t>Une évolution des solutions d’alimentation pour data center, prêtes à toutes les éventualités</w:t>
      </w:r>
    </w:p>
    <w:p w14:paraId="25601783" w14:textId="77777777" w:rsidR="00F17D7F" w:rsidRPr="00F8668A" w:rsidRDefault="00F17D7F" w:rsidP="00741A79">
      <w:pPr>
        <w:pStyle w:val="Default"/>
        <w:spacing w:line="360" w:lineRule="auto"/>
        <w:rPr>
          <w:rFonts w:asciiTheme="minorHAnsi" w:hAnsiTheme="minorHAnsi" w:cstheme="minorHAnsi"/>
          <w:sz w:val="22"/>
          <w:szCs w:val="22"/>
          <w:lang w:val="fr-FR"/>
        </w:rPr>
      </w:pPr>
    </w:p>
    <w:p w14:paraId="7272B635" w14:textId="1A076118" w:rsidR="00C537DE" w:rsidRPr="00F8668A" w:rsidRDefault="002D1185" w:rsidP="00741A79">
      <w:pPr>
        <w:pStyle w:val="Default"/>
        <w:spacing w:line="360" w:lineRule="auto"/>
        <w:rPr>
          <w:rFonts w:asciiTheme="minorHAnsi" w:hAnsiTheme="minorHAnsi" w:cstheme="minorHAnsi"/>
          <w:sz w:val="22"/>
          <w:szCs w:val="22"/>
          <w:lang w:val="fr-FR"/>
        </w:rPr>
      </w:pPr>
      <w:r>
        <w:rPr>
          <w:rFonts w:asciiTheme="minorHAnsi" w:hAnsiTheme="minorHAnsi" w:cstheme="minorHAnsi"/>
          <w:sz w:val="22"/>
          <w:szCs w:val="22"/>
          <w:lang w:val="fr-FR" w:bidi="fr-FR"/>
        </w:rPr>
        <w:t>Forte de plusieurs décennies d’expérience et d’un engagement indéfectible dans le développement continu, Socomec propose un travail de développement qui met en évidence les défis rencontrés par ce marché.</w:t>
      </w:r>
    </w:p>
    <w:p w14:paraId="35C5033E" w14:textId="77777777" w:rsidR="00C537DE" w:rsidRPr="00F8668A" w:rsidRDefault="00C537DE" w:rsidP="00741A79">
      <w:pPr>
        <w:pStyle w:val="Default"/>
        <w:spacing w:line="360" w:lineRule="auto"/>
        <w:rPr>
          <w:rFonts w:asciiTheme="minorHAnsi" w:hAnsiTheme="minorHAnsi" w:cstheme="minorHAnsi"/>
          <w:sz w:val="22"/>
          <w:szCs w:val="22"/>
          <w:lang w:val="fr-FR"/>
        </w:rPr>
      </w:pPr>
    </w:p>
    <w:p w14:paraId="621A4241" w14:textId="01BC037E" w:rsidR="00F17D7F" w:rsidRPr="00F8668A" w:rsidRDefault="002D1185" w:rsidP="00741A79">
      <w:pPr>
        <w:pStyle w:val="Default"/>
        <w:spacing w:line="360" w:lineRule="auto"/>
        <w:rPr>
          <w:rFonts w:asciiTheme="minorHAnsi" w:hAnsiTheme="minorHAnsi" w:cstheme="minorHAnsi"/>
          <w:sz w:val="22"/>
          <w:szCs w:val="22"/>
          <w:lang w:val="fr-FR"/>
        </w:rPr>
      </w:pPr>
      <w:r>
        <w:rPr>
          <w:rFonts w:asciiTheme="minorHAnsi" w:hAnsiTheme="minorHAnsi" w:cstheme="minorHAnsi"/>
          <w:sz w:val="22"/>
          <w:szCs w:val="22"/>
          <w:lang w:val="fr-FR" w:bidi="fr-FR"/>
        </w:rPr>
        <w:t xml:space="preserve">Selon un expert de Socomec, « nos clients sont une composante essentielle et intégrante de notre travail de développement. Nous concevons des solutions qui trouvent un écho auprès de nos clients aujourd’hui, des solutions qui résolvent les frustrations actuelles, mais nous nous tournons également vers l’avenir afin de saisir les exigences futures qui seront motivées par l’évolution de la technologie et de l’architecture des data </w:t>
      </w:r>
      <w:proofErr w:type="spellStart"/>
      <w:r>
        <w:rPr>
          <w:rFonts w:asciiTheme="minorHAnsi" w:hAnsiTheme="minorHAnsi" w:cstheme="minorHAnsi"/>
          <w:sz w:val="22"/>
          <w:szCs w:val="22"/>
          <w:lang w:val="fr-FR" w:bidi="fr-FR"/>
        </w:rPr>
        <w:t>centers</w:t>
      </w:r>
      <w:proofErr w:type="spellEnd"/>
      <w:r>
        <w:rPr>
          <w:rFonts w:asciiTheme="minorHAnsi" w:hAnsiTheme="minorHAnsi" w:cstheme="minorHAnsi"/>
          <w:sz w:val="22"/>
          <w:szCs w:val="22"/>
          <w:lang w:val="fr-FR" w:bidi="fr-FR"/>
        </w:rPr>
        <w:t>. Nous réfléchissons à la manière dont la solution pourrait être intégrée dans un environnement de travail réel et nos clients sont pleinement impliqués dans notre processus d’innovation, depuis l’exploration initiale jusqu’au développement du produit final, afin que nous puissions offrir la meilleure valeur possible. »</w:t>
      </w:r>
    </w:p>
    <w:p w14:paraId="246CA490" w14:textId="77777777" w:rsidR="00F17D7F" w:rsidRPr="00F8668A" w:rsidRDefault="00F17D7F" w:rsidP="00741A79">
      <w:pPr>
        <w:pStyle w:val="Default"/>
        <w:spacing w:line="360" w:lineRule="auto"/>
        <w:rPr>
          <w:rFonts w:asciiTheme="minorHAnsi" w:hAnsiTheme="minorHAnsi" w:cstheme="minorHAnsi"/>
          <w:sz w:val="22"/>
          <w:szCs w:val="22"/>
          <w:lang w:val="fr-FR"/>
        </w:rPr>
      </w:pPr>
    </w:p>
    <w:p w14:paraId="76F1DFD5" w14:textId="2F404095" w:rsidR="00741A79" w:rsidRPr="00F8668A" w:rsidRDefault="00741A79" w:rsidP="00741A79">
      <w:pPr>
        <w:pStyle w:val="Default"/>
        <w:spacing w:line="360" w:lineRule="auto"/>
        <w:rPr>
          <w:rFonts w:asciiTheme="minorHAnsi" w:hAnsiTheme="minorHAnsi" w:cstheme="minorHAnsi"/>
          <w:sz w:val="22"/>
          <w:szCs w:val="22"/>
          <w:lang w:val="fr-FR"/>
        </w:rPr>
      </w:pPr>
      <w:r w:rsidRPr="00741A79">
        <w:rPr>
          <w:rFonts w:asciiTheme="minorHAnsi" w:hAnsiTheme="minorHAnsi" w:cstheme="minorHAnsi"/>
          <w:sz w:val="22"/>
          <w:szCs w:val="22"/>
          <w:lang w:val="fr-FR" w:bidi="fr-FR"/>
        </w:rPr>
        <w:t xml:space="preserve">Décrite dans le rapport comme une « approche unique de l’architecture d’alimentation des data </w:t>
      </w:r>
      <w:proofErr w:type="spellStart"/>
      <w:r w:rsidRPr="00741A79">
        <w:rPr>
          <w:rFonts w:asciiTheme="minorHAnsi" w:hAnsiTheme="minorHAnsi" w:cstheme="minorHAnsi"/>
          <w:sz w:val="22"/>
          <w:szCs w:val="22"/>
          <w:lang w:val="fr-FR" w:bidi="fr-FR"/>
        </w:rPr>
        <w:t>centers</w:t>
      </w:r>
      <w:proofErr w:type="spellEnd"/>
      <w:r w:rsidRPr="00741A79">
        <w:rPr>
          <w:rFonts w:asciiTheme="minorHAnsi" w:hAnsiTheme="minorHAnsi" w:cstheme="minorHAnsi"/>
          <w:sz w:val="22"/>
          <w:szCs w:val="22"/>
          <w:lang w:val="fr-FR" w:bidi="fr-FR"/>
        </w:rPr>
        <w:t xml:space="preserve"> », Frost &amp; Sullivan a observé que cette nouvelle solution peut potentiellement créer une évolution indispensable de l’architecture d’alimentation de secours des data </w:t>
      </w:r>
      <w:proofErr w:type="spellStart"/>
      <w:r w:rsidRPr="00741A79">
        <w:rPr>
          <w:rFonts w:asciiTheme="minorHAnsi" w:hAnsiTheme="minorHAnsi" w:cstheme="minorHAnsi"/>
          <w:sz w:val="22"/>
          <w:szCs w:val="22"/>
          <w:lang w:val="fr-FR" w:bidi="fr-FR"/>
        </w:rPr>
        <w:t>centers</w:t>
      </w:r>
      <w:proofErr w:type="spellEnd"/>
      <w:r w:rsidRPr="00741A79">
        <w:rPr>
          <w:rFonts w:asciiTheme="minorHAnsi" w:hAnsiTheme="minorHAnsi" w:cstheme="minorHAnsi"/>
          <w:sz w:val="22"/>
          <w:szCs w:val="22"/>
          <w:lang w:val="fr-FR" w:bidi="fr-FR"/>
        </w:rPr>
        <w:t>.</w:t>
      </w:r>
    </w:p>
    <w:p w14:paraId="3824DF12" w14:textId="77777777" w:rsidR="00F17D7F" w:rsidRPr="00F8668A" w:rsidRDefault="00F17D7F" w:rsidP="00741A79">
      <w:pPr>
        <w:pStyle w:val="Default"/>
        <w:spacing w:line="360" w:lineRule="auto"/>
        <w:rPr>
          <w:rFonts w:asciiTheme="minorHAnsi" w:hAnsiTheme="minorHAnsi" w:cstheme="minorHAnsi"/>
          <w:sz w:val="22"/>
          <w:szCs w:val="22"/>
          <w:lang w:val="fr-FR"/>
        </w:rPr>
      </w:pPr>
    </w:p>
    <w:p w14:paraId="798E9691" w14:textId="1A384599" w:rsidR="00F17D7F" w:rsidRPr="00F8668A" w:rsidRDefault="00C40C64" w:rsidP="00741A79">
      <w:pPr>
        <w:pStyle w:val="Default"/>
        <w:spacing w:line="360" w:lineRule="auto"/>
        <w:rPr>
          <w:rFonts w:asciiTheme="minorHAnsi" w:hAnsiTheme="minorHAnsi" w:cstheme="minorHAnsi"/>
          <w:sz w:val="22"/>
          <w:szCs w:val="22"/>
          <w:lang w:val="fr-FR"/>
        </w:rPr>
      </w:pPr>
      <w:proofErr w:type="spellStart"/>
      <w:r w:rsidRPr="0039113E">
        <w:rPr>
          <w:b/>
          <w:sz w:val="22"/>
          <w:szCs w:val="22"/>
          <w:lang w:val="fr-FR" w:bidi="fr-FR"/>
        </w:rPr>
        <w:t>Gautham</w:t>
      </w:r>
      <w:proofErr w:type="spellEnd"/>
      <w:r w:rsidRPr="0039113E">
        <w:rPr>
          <w:b/>
          <w:sz w:val="22"/>
          <w:szCs w:val="22"/>
          <w:lang w:val="fr-FR" w:bidi="fr-FR"/>
        </w:rPr>
        <w:t xml:space="preserve"> </w:t>
      </w:r>
      <w:proofErr w:type="spellStart"/>
      <w:r w:rsidRPr="0039113E">
        <w:rPr>
          <w:b/>
          <w:sz w:val="22"/>
          <w:szCs w:val="22"/>
          <w:lang w:val="fr-FR" w:bidi="fr-FR"/>
        </w:rPr>
        <w:t>Gnanajothi</w:t>
      </w:r>
      <w:proofErr w:type="spellEnd"/>
      <w:r w:rsidRPr="0039113E">
        <w:rPr>
          <w:rFonts w:asciiTheme="minorHAnsi" w:hAnsiTheme="minorHAnsi" w:cstheme="minorHAnsi"/>
          <w:color w:val="auto"/>
          <w:sz w:val="22"/>
          <w:szCs w:val="22"/>
          <w:lang w:val="fr-FR" w:bidi="fr-FR"/>
        </w:rPr>
        <w:t xml:space="preserve">, </w:t>
      </w:r>
      <w:r w:rsidRPr="0039113E">
        <w:rPr>
          <w:b/>
          <w:sz w:val="22"/>
          <w:szCs w:val="22"/>
          <w:lang w:val="fr-FR" w:bidi="fr-FR"/>
        </w:rPr>
        <w:t>vice-président de recherche</w:t>
      </w:r>
      <w:r w:rsidRPr="0039113E">
        <w:rPr>
          <w:rFonts w:asciiTheme="minorHAnsi" w:hAnsiTheme="minorHAnsi" w:cstheme="minorHAnsi"/>
          <w:color w:val="auto"/>
          <w:sz w:val="22"/>
          <w:szCs w:val="22"/>
          <w:lang w:val="fr-FR" w:bidi="fr-FR"/>
        </w:rPr>
        <w:t xml:space="preserve"> chez Frost &amp; Sullivan, a déclaré que « l’excellence de Socomec en matière d’innovation est sous-tendue par deux piliers clés. Le premier est sa capacité à analyser scrupuleusement les composants individuels de l’infrastructure électrique, et le second est son flair qui lui permet de maîtriser l’ensemble de la chaîne de valeur et tous les événements liés à l’architecture de distribution d’énergie associée, depuis le réseau jusqu’à la charge critique. Le DELPHYS XL témoigne grandement de l’excellence de Socomec à cet égard. »</w:t>
      </w:r>
    </w:p>
    <w:bookmarkEnd w:id="0"/>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tblGrid>
      <w:tr w:rsidR="00AC410B" w:rsidRPr="00B40A72" w14:paraId="62C974D8" w14:textId="77777777" w:rsidTr="00061163">
        <w:tc>
          <w:tcPr>
            <w:tcW w:w="6006" w:type="dxa"/>
            <w:vAlign w:val="center"/>
          </w:tcPr>
          <w:p w14:paraId="4760AC94" w14:textId="77777777" w:rsidR="00AC410B" w:rsidRPr="00F8668A" w:rsidRDefault="00AC410B" w:rsidP="00E87A30">
            <w:pPr>
              <w:pStyle w:val="LgendePhoto"/>
              <w:spacing w:line="276" w:lineRule="auto"/>
              <w:rPr>
                <w:i w:val="0"/>
                <w:lang w:val="fr-FR"/>
              </w:rPr>
            </w:pPr>
          </w:p>
        </w:tc>
      </w:tr>
    </w:tbl>
    <w:p w14:paraId="65945C75" w14:textId="77777777" w:rsidR="00E87A30" w:rsidRPr="00F8668A" w:rsidRDefault="00E87A30" w:rsidP="006F62FB">
      <w:pPr>
        <w:pStyle w:val="Bullets1"/>
        <w:numPr>
          <w:ilvl w:val="0"/>
          <w:numId w:val="0"/>
        </w:numPr>
        <w:jc w:val="both"/>
        <w:rPr>
          <w:rFonts w:eastAsia="Times New Roman"/>
          <w:color w:val="003C8A"/>
          <w:sz w:val="15"/>
          <w:szCs w:val="15"/>
          <w:lang w:val="fr-FR" w:eastAsia="it-IT"/>
        </w:rPr>
      </w:pPr>
    </w:p>
    <w:p w14:paraId="07ABD41E" w14:textId="77777777" w:rsidR="00E87A30" w:rsidRPr="00F8668A" w:rsidRDefault="00E87A30" w:rsidP="006F62FB">
      <w:pPr>
        <w:pStyle w:val="Bullets1"/>
        <w:numPr>
          <w:ilvl w:val="0"/>
          <w:numId w:val="0"/>
        </w:numPr>
        <w:jc w:val="both"/>
        <w:rPr>
          <w:rFonts w:eastAsia="Times New Roman"/>
          <w:color w:val="003C8A"/>
          <w:sz w:val="15"/>
          <w:szCs w:val="15"/>
          <w:lang w:val="fr-FR" w:eastAsia="it-IT"/>
        </w:rPr>
      </w:pPr>
    </w:p>
    <w:p w14:paraId="65F52DAE" w14:textId="77777777" w:rsidR="00E87A30" w:rsidRPr="00F8668A" w:rsidRDefault="00E87A30" w:rsidP="006F62FB">
      <w:pPr>
        <w:pStyle w:val="Bullets1"/>
        <w:numPr>
          <w:ilvl w:val="0"/>
          <w:numId w:val="0"/>
        </w:numPr>
        <w:jc w:val="both"/>
        <w:rPr>
          <w:rFonts w:eastAsia="Times New Roman"/>
          <w:color w:val="003C8A"/>
          <w:sz w:val="15"/>
          <w:szCs w:val="15"/>
          <w:lang w:val="fr-FR" w:eastAsia="it-IT"/>
        </w:rPr>
      </w:pPr>
    </w:p>
    <w:p w14:paraId="09E6618D" w14:textId="77777777" w:rsidR="00E87A30" w:rsidRPr="00F8668A" w:rsidRDefault="00E87A30" w:rsidP="006F62FB">
      <w:pPr>
        <w:pStyle w:val="Bullets1"/>
        <w:numPr>
          <w:ilvl w:val="0"/>
          <w:numId w:val="0"/>
        </w:numPr>
        <w:jc w:val="both"/>
        <w:rPr>
          <w:rFonts w:eastAsia="Times New Roman"/>
          <w:color w:val="003C8A"/>
          <w:sz w:val="15"/>
          <w:szCs w:val="15"/>
          <w:lang w:val="fr-FR" w:eastAsia="it-IT"/>
        </w:rPr>
      </w:pPr>
    </w:p>
    <w:p w14:paraId="663922EE" w14:textId="77777777" w:rsidR="00934A41" w:rsidRPr="00F8668A" w:rsidRDefault="00934A41" w:rsidP="006F62FB">
      <w:pPr>
        <w:pStyle w:val="Bullets1"/>
        <w:numPr>
          <w:ilvl w:val="0"/>
          <w:numId w:val="0"/>
        </w:numPr>
        <w:jc w:val="both"/>
        <w:rPr>
          <w:rFonts w:eastAsia="Times New Roman"/>
          <w:color w:val="003C8A"/>
          <w:sz w:val="15"/>
          <w:szCs w:val="15"/>
          <w:lang w:val="fr-FR" w:eastAsia="it-IT"/>
        </w:rPr>
      </w:pPr>
    </w:p>
    <w:p w14:paraId="38FDF3F4" w14:textId="77777777" w:rsidR="00934A41" w:rsidRPr="00F8668A" w:rsidRDefault="00934A41" w:rsidP="006F62FB">
      <w:pPr>
        <w:pStyle w:val="Bullets1"/>
        <w:numPr>
          <w:ilvl w:val="0"/>
          <w:numId w:val="0"/>
        </w:numPr>
        <w:jc w:val="both"/>
        <w:rPr>
          <w:rFonts w:eastAsia="Times New Roman"/>
          <w:color w:val="003C8A"/>
          <w:sz w:val="15"/>
          <w:szCs w:val="15"/>
          <w:lang w:val="fr-FR" w:eastAsia="it-IT"/>
        </w:rPr>
      </w:pPr>
    </w:p>
    <w:p w14:paraId="0F2B529A" w14:textId="1D8E6623" w:rsidR="00934A41" w:rsidRPr="00F8668A" w:rsidRDefault="00934A41" w:rsidP="006F62FB">
      <w:pPr>
        <w:pStyle w:val="Bullets1"/>
        <w:numPr>
          <w:ilvl w:val="0"/>
          <w:numId w:val="0"/>
        </w:numPr>
        <w:jc w:val="both"/>
        <w:rPr>
          <w:rFonts w:eastAsia="Times New Roman"/>
          <w:color w:val="003C8A"/>
          <w:sz w:val="15"/>
          <w:szCs w:val="15"/>
          <w:lang w:val="fr-FR" w:eastAsia="it-IT"/>
        </w:rPr>
      </w:pPr>
    </w:p>
    <w:p w14:paraId="0C0C8DC1" w14:textId="77777777" w:rsidR="00E87A30" w:rsidRPr="00F8668A" w:rsidRDefault="00E87A30" w:rsidP="006F62FB">
      <w:pPr>
        <w:pStyle w:val="Bullets1"/>
        <w:numPr>
          <w:ilvl w:val="0"/>
          <w:numId w:val="0"/>
        </w:numPr>
        <w:jc w:val="both"/>
        <w:rPr>
          <w:rFonts w:eastAsia="Times New Roman"/>
          <w:color w:val="003C8A"/>
          <w:sz w:val="15"/>
          <w:szCs w:val="15"/>
          <w:lang w:val="fr-FR" w:eastAsia="it-IT"/>
        </w:rPr>
      </w:pPr>
    </w:p>
    <w:p w14:paraId="58A6D43E" w14:textId="77777777" w:rsidR="003C3252" w:rsidRPr="00F8668A" w:rsidRDefault="003C3252" w:rsidP="006F62FB">
      <w:pPr>
        <w:pStyle w:val="Bullets1"/>
        <w:numPr>
          <w:ilvl w:val="0"/>
          <w:numId w:val="0"/>
        </w:numPr>
        <w:jc w:val="both"/>
        <w:rPr>
          <w:rFonts w:eastAsia="Times New Roman"/>
          <w:color w:val="003C8A"/>
          <w:sz w:val="15"/>
          <w:szCs w:val="15"/>
          <w:lang w:val="fr-FR" w:eastAsia="it-IT"/>
        </w:rPr>
      </w:pPr>
    </w:p>
    <w:p w14:paraId="13293208" w14:textId="77777777" w:rsidR="00EF074F" w:rsidRPr="00F8668A" w:rsidRDefault="00EF074F" w:rsidP="00B168A7">
      <w:pPr>
        <w:spacing w:after="0" w:line="240" w:lineRule="auto"/>
        <w:rPr>
          <w:rFonts w:ascii="Arial" w:hAnsi="Arial" w:cs="Arial"/>
          <w:sz w:val="18"/>
          <w:szCs w:val="18"/>
          <w:lang w:val="fr-FR"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1"/>
        <w:gridCol w:w="2541"/>
      </w:tblGrid>
      <w:tr w:rsidR="00EF074F" w:rsidRPr="003E154C" w14:paraId="15695D41" w14:textId="77777777" w:rsidTr="00647299">
        <w:tc>
          <w:tcPr>
            <w:tcW w:w="7763" w:type="dxa"/>
            <w:shd w:val="clear" w:color="auto" w:fill="auto"/>
          </w:tcPr>
          <w:p w14:paraId="2E7118C6" w14:textId="77777777" w:rsidR="00934A41" w:rsidRPr="00F8668A" w:rsidRDefault="00934A41" w:rsidP="00374971">
            <w:pPr>
              <w:spacing w:before="120" w:after="120"/>
              <w:jc w:val="both"/>
              <w:rPr>
                <w:rFonts w:ascii="Arial" w:eastAsia="Times New Roman" w:hAnsi="Arial"/>
                <w:b/>
                <w:bCs/>
                <w:color w:val="003C8A"/>
                <w:sz w:val="21"/>
                <w:szCs w:val="21"/>
                <w:lang w:val="fr-FR" w:eastAsia="it-IT"/>
              </w:rPr>
            </w:pPr>
          </w:p>
          <w:p w14:paraId="43D042CA" w14:textId="77777777" w:rsidR="00EF074F" w:rsidRPr="003E154C" w:rsidRDefault="00EF074F" w:rsidP="00374971">
            <w:pPr>
              <w:spacing w:before="120" w:after="120"/>
              <w:jc w:val="both"/>
              <w:rPr>
                <w:rFonts w:ascii="Arial" w:eastAsia="Times New Roman" w:hAnsi="Arial"/>
                <w:b/>
                <w:bCs/>
                <w:color w:val="003C8A"/>
                <w:sz w:val="21"/>
                <w:szCs w:val="21"/>
                <w:lang w:eastAsia="it-IT"/>
              </w:rPr>
            </w:pPr>
            <w:r w:rsidRPr="003E154C">
              <w:rPr>
                <w:rFonts w:ascii="Arial" w:eastAsia="Times New Roman" w:hAnsi="Arial"/>
                <w:b/>
                <w:color w:val="003C8A"/>
                <w:sz w:val="21"/>
                <w:szCs w:val="21"/>
                <w:lang w:val="fr-FR" w:bidi="fr-FR"/>
              </w:rPr>
              <w:t>SOCOMEC : quand l’énergie compte</w:t>
            </w:r>
          </w:p>
        </w:tc>
        <w:tc>
          <w:tcPr>
            <w:tcW w:w="283" w:type="dxa"/>
            <w:shd w:val="clear" w:color="auto" w:fill="auto"/>
          </w:tcPr>
          <w:p w14:paraId="279F1793" w14:textId="77777777" w:rsidR="00EF074F" w:rsidRPr="003E154C" w:rsidRDefault="00EF074F" w:rsidP="00647299">
            <w:pPr>
              <w:spacing w:before="120" w:after="120"/>
              <w:jc w:val="both"/>
              <w:rPr>
                <w:rFonts w:ascii="Arial" w:eastAsia="Times New Roman" w:hAnsi="Arial"/>
                <w:b/>
                <w:bCs/>
                <w:color w:val="003C8A"/>
                <w:sz w:val="21"/>
                <w:szCs w:val="21"/>
                <w:lang w:eastAsia="it-IT"/>
              </w:rPr>
            </w:pPr>
          </w:p>
        </w:tc>
        <w:tc>
          <w:tcPr>
            <w:tcW w:w="2552" w:type="dxa"/>
            <w:shd w:val="clear" w:color="auto" w:fill="auto"/>
          </w:tcPr>
          <w:p w14:paraId="1D58343A" w14:textId="77777777" w:rsidR="00934A41" w:rsidRDefault="00934A41" w:rsidP="006027DE">
            <w:pPr>
              <w:spacing w:before="120" w:after="120"/>
              <w:jc w:val="both"/>
              <w:rPr>
                <w:rFonts w:ascii="Arial" w:eastAsia="Times New Roman" w:hAnsi="Arial"/>
                <w:b/>
                <w:bCs/>
                <w:color w:val="003C8A"/>
                <w:sz w:val="21"/>
                <w:szCs w:val="21"/>
                <w:lang w:eastAsia="it-IT"/>
              </w:rPr>
            </w:pPr>
          </w:p>
          <w:p w14:paraId="5BD85608" w14:textId="77777777" w:rsidR="00EF074F" w:rsidRPr="003E154C" w:rsidRDefault="00934A41" w:rsidP="006027DE">
            <w:pPr>
              <w:spacing w:before="120" w:after="120"/>
              <w:jc w:val="both"/>
              <w:rPr>
                <w:rFonts w:ascii="Arial" w:eastAsia="Times New Roman" w:hAnsi="Arial"/>
                <w:b/>
                <w:bCs/>
                <w:color w:val="003C8A"/>
                <w:sz w:val="21"/>
                <w:szCs w:val="21"/>
                <w:lang w:eastAsia="it-IT"/>
              </w:rPr>
            </w:pPr>
            <w:r>
              <w:rPr>
                <w:rFonts w:ascii="Arial" w:eastAsia="Times New Roman" w:hAnsi="Arial"/>
                <w:b/>
                <w:color w:val="003C8A"/>
                <w:sz w:val="21"/>
                <w:szCs w:val="21"/>
                <w:lang w:val="fr-FR" w:bidi="fr-FR"/>
              </w:rPr>
              <w:t>Contact presse</w:t>
            </w:r>
          </w:p>
        </w:tc>
      </w:tr>
      <w:tr w:rsidR="00EF074F" w:rsidRPr="00F8668A" w14:paraId="644DA570" w14:textId="77777777" w:rsidTr="00647299">
        <w:trPr>
          <w:trHeight w:val="1546"/>
        </w:trPr>
        <w:tc>
          <w:tcPr>
            <w:tcW w:w="7763" w:type="dxa"/>
          </w:tcPr>
          <w:p w14:paraId="062B531E" w14:textId="77777777" w:rsidR="00374971" w:rsidRPr="00F8668A" w:rsidRDefault="00747E2D" w:rsidP="00374971">
            <w:pPr>
              <w:autoSpaceDE w:val="0"/>
              <w:autoSpaceDN w:val="0"/>
              <w:jc w:val="both"/>
              <w:rPr>
                <w:rFonts w:ascii="Arial" w:eastAsia="Times New Roman" w:hAnsi="Arial"/>
                <w:color w:val="003C8A"/>
                <w:sz w:val="15"/>
                <w:szCs w:val="15"/>
                <w:lang w:val="fr-FR" w:eastAsia="it-IT"/>
              </w:rPr>
            </w:pPr>
            <w:r w:rsidRPr="003E154C">
              <w:rPr>
                <w:rFonts w:ascii="Arial" w:eastAsia="Times New Roman" w:hAnsi="Arial"/>
                <w:color w:val="003C8A"/>
                <w:sz w:val="15"/>
                <w:szCs w:val="15"/>
                <w:lang w:val="fr-FR" w:bidi="fr-FR"/>
              </w:rPr>
              <w:t>Créé en 1922, SOCOMEC est un groupe industriel indépendant de plus de 3 600 experts répartis à travers le monde dans 28 filiales. Sa vocation : la disponibilité, le contrôle et la sécurité des réseaux électriques basse tension au service de la performance énergétique de ses clients. En 2019, SOCOMEC a réalisé un chiffre d’affaires de 572 millions d’euros*.</w:t>
            </w:r>
          </w:p>
          <w:p w14:paraId="47206AD5" w14:textId="77777777" w:rsidR="00E91318" w:rsidRPr="003E154C" w:rsidRDefault="00E91318" w:rsidP="00374971">
            <w:pPr>
              <w:autoSpaceDE w:val="0"/>
              <w:autoSpaceDN w:val="0"/>
              <w:jc w:val="both"/>
              <w:rPr>
                <w:rFonts w:ascii="Arial" w:eastAsia="Times New Roman" w:hAnsi="Arial"/>
                <w:i/>
                <w:color w:val="003C8A"/>
                <w:sz w:val="12"/>
                <w:szCs w:val="12"/>
                <w:lang w:eastAsia="it-IT"/>
              </w:rPr>
            </w:pPr>
            <w:r w:rsidRPr="003E154C">
              <w:rPr>
                <w:rFonts w:ascii="Arial" w:eastAsia="Times New Roman" w:hAnsi="Arial"/>
                <w:i/>
                <w:color w:val="003C8A"/>
                <w:sz w:val="12"/>
                <w:szCs w:val="12"/>
                <w:lang w:val="fr-FR" w:bidi="fr-FR"/>
              </w:rPr>
              <w:t>*estimation 2019</w:t>
            </w:r>
          </w:p>
          <w:p w14:paraId="41AF4B6A" w14:textId="77777777" w:rsidR="00EF074F" w:rsidRPr="003E154C" w:rsidRDefault="00EF074F" w:rsidP="00647299">
            <w:pPr>
              <w:autoSpaceDE w:val="0"/>
              <w:autoSpaceDN w:val="0"/>
              <w:jc w:val="both"/>
              <w:rPr>
                <w:rFonts w:ascii="Arial" w:eastAsia="Times New Roman" w:hAnsi="Arial"/>
                <w:color w:val="003C8A"/>
                <w:sz w:val="15"/>
                <w:szCs w:val="15"/>
                <w:lang w:eastAsia="it-IT"/>
              </w:rPr>
            </w:pPr>
          </w:p>
          <w:p w14:paraId="7CECF9C5" w14:textId="77777777" w:rsidR="00EF074F" w:rsidRPr="003E154C" w:rsidRDefault="00374971" w:rsidP="00647299">
            <w:pPr>
              <w:autoSpaceDE w:val="0"/>
              <w:autoSpaceDN w:val="0"/>
              <w:jc w:val="both"/>
              <w:rPr>
                <w:rFonts w:ascii="Arial" w:eastAsia="Times New Roman" w:hAnsi="Arial"/>
                <w:color w:val="003C8A"/>
                <w:sz w:val="15"/>
                <w:szCs w:val="15"/>
                <w:lang w:eastAsia="it-IT"/>
              </w:rPr>
            </w:pPr>
            <w:r w:rsidRPr="003E154C">
              <w:rPr>
                <w:noProof/>
                <w:lang w:val="en-US"/>
              </w:rPr>
              <w:drawing>
                <wp:inline distT="0" distB="0" distL="0" distR="0" wp14:anchorId="0F52D32F" wp14:editId="777C744F">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14:paraId="2A36F9B9" w14:textId="77777777" w:rsidR="00EF074F" w:rsidRPr="003E154C" w:rsidRDefault="00EF074F" w:rsidP="00647299">
            <w:pPr>
              <w:jc w:val="both"/>
              <w:rPr>
                <w:rFonts w:ascii="Arial" w:eastAsia="Times New Roman" w:hAnsi="Arial"/>
                <w:color w:val="003C8A"/>
                <w:sz w:val="15"/>
                <w:szCs w:val="15"/>
                <w:lang w:eastAsia="it-IT"/>
              </w:rPr>
            </w:pPr>
          </w:p>
        </w:tc>
        <w:tc>
          <w:tcPr>
            <w:tcW w:w="2552" w:type="dxa"/>
          </w:tcPr>
          <w:p w14:paraId="1A16EB20" w14:textId="6C37C667" w:rsidR="00460C85" w:rsidRPr="00CB2ECD" w:rsidRDefault="00CB2ECD" w:rsidP="00460C85">
            <w:pPr>
              <w:spacing w:after="60"/>
              <w:jc w:val="both"/>
              <w:rPr>
                <w:rFonts w:ascii="Arial" w:eastAsia="Times New Roman" w:hAnsi="Arial"/>
                <w:b/>
                <w:color w:val="003C8A"/>
                <w:sz w:val="15"/>
                <w:szCs w:val="15"/>
                <w:highlight w:val="yellow"/>
                <w:lang w:eastAsia="it-IT"/>
              </w:rPr>
            </w:pPr>
            <w:r w:rsidRPr="00CB2ECD">
              <w:rPr>
                <w:rFonts w:ascii="Arial" w:eastAsia="Times New Roman" w:hAnsi="Arial"/>
                <w:b/>
                <w:color w:val="003C8A"/>
                <w:sz w:val="15"/>
                <w:szCs w:val="15"/>
                <w:highlight w:val="yellow"/>
                <w:lang w:bidi="fr-FR"/>
              </w:rPr>
              <w:t>XXXXXXXXX</w:t>
            </w:r>
          </w:p>
          <w:p w14:paraId="7C46F7F3" w14:textId="3E182E71" w:rsidR="00460C85" w:rsidRPr="00CB2ECD" w:rsidRDefault="00CB2ECD" w:rsidP="00460C85">
            <w:pPr>
              <w:spacing w:after="60"/>
              <w:rPr>
                <w:rFonts w:ascii="Arial" w:eastAsia="Times New Roman" w:hAnsi="Arial"/>
                <w:color w:val="003C8A"/>
                <w:sz w:val="15"/>
                <w:szCs w:val="15"/>
                <w:highlight w:val="yellow"/>
                <w:lang w:eastAsia="it-IT"/>
              </w:rPr>
            </w:pPr>
            <w:r w:rsidRPr="00CB2ECD">
              <w:rPr>
                <w:rFonts w:ascii="Arial" w:eastAsia="Times New Roman" w:hAnsi="Arial"/>
                <w:color w:val="003C8A"/>
                <w:sz w:val="15"/>
                <w:szCs w:val="15"/>
                <w:highlight w:val="yellow"/>
                <w:lang w:bidi="fr-FR"/>
              </w:rPr>
              <w:t>XXXXXXXXX</w:t>
            </w:r>
          </w:p>
          <w:p w14:paraId="49A31080" w14:textId="1229AA5C" w:rsidR="00460C85" w:rsidRPr="00CB2ECD" w:rsidRDefault="00CB2ECD" w:rsidP="00460C85">
            <w:pPr>
              <w:spacing w:after="60"/>
              <w:jc w:val="both"/>
              <w:rPr>
                <w:rFonts w:ascii="Arial" w:eastAsia="Times New Roman" w:hAnsi="Arial"/>
                <w:color w:val="003C8A"/>
                <w:sz w:val="15"/>
                <w:szCs w:val="15"/>
                <w:highlight w:val="yellow"/>
                <w:lang w:eastAsia="it-IT"/>
              </w:rPr>
            </w:pPr>
            <w:r w:rsidRPr="00CB2ECD">
              <w:rPr>
                <w:rFonts w:ascii="Arial" w:eastAsia="Times New Roman" w:hAnsi="Arial"/>
                <w:color w:val="003C8A"/>
                <w:sz w:val="15"/>
                <w:szCs w:val="15"/>
                <w:highlight w:val="yellow"/>
                <w:lang w:bidi="fr-FR"/>
              </w:rPr>
              <w:t>XXXXXXXXX</w:t>
            </w:r>
          </w:p>
          <w:p w14:paraId="0FBCD5A5" w14:textId="783E1760" w:rsidR="00460C85" w:rsidRPr="00CB2ECD" w:rsidRDefault="00BC43B2" w:rsidP="00460C85">
            <w:pPr>
              <w:jc w:val="both"/>
              <w:rPr>
                <w:rStyle w:val="Lienhypertexte"/>
                <w:rFonts w:ascii="Arial" w:eastAsia="Times New Roman" w:hAnsi="Arial"/>
                <w:sz w:val="15"/>
                <w:szCs w:val="15"/>
                <w:lang w:eastAsia="it-IT"/>
              </w:rPr>
            </w:pPr>
            <w:hyperlink r:id="rId9" w:history="1">
              <w:r w:rsidR="00CB2ECD" w:rsidRPr="00CB2ECD">
                <w:rPr>
                  <w:rStyle w:val="Lienhypertexte"/>
                  <w:rFonts w:ascii="Arial" w:eastAsia="Times New Roman" w:hAnsi="Arial"/>
                  <w:sz w:val="15"/>
                  <w:szCs w:val="15"/>
                  <w:highlight w:val="yellow"/>
                  <w:lang w:bidi="fr-FR"/>
                </w:rPr>
                <w:t>XXXXXXXXX@socomec.com</w:t>
              </w:r>
            </w:hyperlink>
          </w:p>
          <w:p w14:paraId="5A5CD7EF" w14:textId="13513C68" w:rsidR="00460C85" w:rsidRDefault="00BC43B2" w:rsidP="00460C85">
            <w:pPr>
              <w:jc w:val="both"/>
              <w:rPr>
                <w:rFonts w:ascii="Arial" w:eastAsia="Times New Roman" w:hAnsi="Arial"/>
                <w:sz w:val="15"/>
                <w:szCs w:val="15"/>
                <w:lang w:val="fr-FR" w:bidi="fr-FR"/>
              </w:rPr>
            </w:pPr>
            <w:hyperlink r:id="rId10" w:history="1">
              <w:r w:rsidR="00CB2ECD" w:rsidRPr="003B10AA">
                <w:rPr>
                  <w:rStyle w:val="Lienhypertexte"/>
                  <w:rFonts w:ascii="Arial" w:eastAsia="Times New Roman" w:hAnsi="Arial"/>
                  <w:sz w:val="15"/>
                  <w:szCs w:val="15"/>
                  <w:lang w:val="fr-FR" w:bidi="fr-FR"/>
                </w:rPr>
                <w:t>www.socomec.co.fr</w:t>
              </w:r>
            </w:hyperlink>
          </w:p>
          <w:p w14:paraId="6C86AE70" w14:textId="77777777" w:rsidR="00CB2ECD" w:rsidRPr="00F8668A" w:rsidRDefault="00CB2ECD" w:rsidP="00460C85">
            <w:pPr>
              <w:jc w:val="both"/>
              <w:rPr>
                <w:rStyle w:val="Lienhypertexte"/>
                <w:rFonts w:ascii="Arial" w:eastAsia="Times New Roman" w:hAnsi="Arial"/>
                <w:sz w:val="15"/>
                <w:szCs w:val="15"/>
                <w:lang w:val="fr-FR" w:eastAsia="it-IT"/>
              </w:rPr>
            </w:pPr>
          </w:p>
          <w:p w14:paraId="36D4C01F" w14:textId="77777777" w:rsidR="00DE2C84" w:rsidRPr="00F8668A" w:rsidRDefault="00DE2C84" w:rsidP="00647299">
            <w:pPr>
              <w:jc w:val="both"/>
              <w:rPr>
                <w:rStyle w:val="Lienhypertexte"/>
                <w:rFonts w:ascii="Arial" w:eastAsia="Times New Roman" w:hAnsi="Arial"/>
                <w:sz w:val="15"/>
                <w:szCs w:val="15"/>
                <w:lang w:val="fr-FR" w:eastAsia="it-IT"/>
              </w:rPr>
            </w:pPr>
          </w:p>
          <w:p w14:paraId="1ADB2601" w14:textId="77777777" w:rsidR="00DE2C84" w:rsidRPr="00F8668A" w:rsidRDefault="00DE2C84" w:rsidP="00647299">
            <w:pPr>
              <w:jc w:val="both"/>
              <w:rPr>
                <w:rFonts w:ascii="Arial" w:eastAsia="Times New Roman" w:hAnsi="Arial"/>
                <w:color w:val="003C8A"/>
                <w:sz w:val="15"/>
                <w:szCs w:val="15"/>
                <w:lang w:val="fr-FR" w:eastAsia="it-IT"/>
              </w:rPr>
            </w:pPr>
          </w:p>
        </w:tc>
      </w:tr>
    </w:tbl>
    <w:p w14:paraId="11D0B8EB" w14:textId="77777777" w:rsidR="00D86B2E" w:rsidRPr="00F8668A" w:rsidRDefault="00D86B2E" w:rsidP="000617B1">
      <w:pPr>
        <w:pStyle w:val="LgendePhoto"/>
        <w:rPr>
          <w:lang w:val="fr-FR" w:eastAsia="fr-FR"/>
        </w:rPr>
      </w:pPr>
    </w:p>
    <w:sectPr w:rsidR="00D86B2E" w:rsidRPr="00F8668A" w:rsidSect="00676A94">
      <w:headerReference w:type="default" r:id="rId11"/>
      <w:footerReference w:type="default" r:id="rId12"/>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09F2" w14:textId="77777777" w:rsidR="00BC43B2" w:rsidRDefault="00BC43B2" w:rsidP="00DC7D80">
      <w:pPr>
        <w:spacing w:after="0" w:line="240" w:lineRule="auto"/>
      </w:pPr>
      <w:r>
        <w:separator/>
      </w:r>
    </w:p>
  </w:endnote>
  <w:endnote w:type="continuationSeparator" w:id="0">
    <w:p w14:paraId="73C7F25A" w14:textId="77777777" w:rsidR="00BC43B2" w:rsidRDefault="00BC43B2"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E1D" w14:textId="67FCCB60" w:rsidR="000F3989" w:rsidRPr="00676A94" w:rsidRDefault="000F3989" w:rsidP="00676A94">
    <w:pPr>
      <w:pStyle w:val="Pieddepage"/>
      <w:jc w:val="right"/>
      <w:rPr>
        <w:rFonts w:ascii="Arial" w:hAnsi="Arial" w:cs="Arial"/>
        <w:color w:val="003C8A"/>
      </w:rPr>
    </w:pPr>
    <w:r w:rsidRPr="00676A94">
      <w:rPr>
        <w:rFonts w:ascii="Arial" w:eastAsia="Arial" w:hAnsi="Arial" w:cs="Arial"/>
        <w:b/>
        <w:color w:val="003C8A"/>
        <w:lang w:val="fr-FR" w:bidi="fr-FR"/>
      </w:rPr>
      <w:fldChar w:fldCharType="begin"/>
    </w:r>
    <w:r w:rsidRPr="00676A94">
      <w:rPr>
        <w:rFonts w:ascii="Arial" w:eastAsia="Arial" w:hAnsi="Arial" w:cs="Arial"/>
        <w:b/>
        <w:color w:val="003C8A"/>
        <w:lang w:val="fr-FR" w:bidi="fr-FR"/>
      </w:rPr>
      <w:instrText>PAGE   \* MERGEFORMAT</w:instrText>
    </w:r>
    <w:r w:rsidRPr="00676A94">
      <w:rPr>
        <w:rFonts w:ascii="Arial" w:eastAsia="Arial" w:hAnsi="Arial" w:cs="Arial"/>
        <w:b/>
        <w:color w:val="003C8A"/>
        <w:lang w:val="fr-FR" w:bidi="fr-FR"/>
      </w:rPr>
      <w:fldChar w:fldCharType="separate"/>
    </w:r>
    <w:r w:rsidR="00B40A72">
      <w:rPr>
        <w:rFonts w:ascii="Arial" w:eastAsia="Arial" w:hAnsi="Arial" w:cs="Arial"/>
        <w:b/>
        <w:noProof/>
        <w:color w:val="003C8A"/>
        <w:lang w:val="fr-FR" w:bidi="fr-FR"/>
      </w:rPr>
      <w:t>3</w:t>
    </w:r>
    <w:r w:rsidRPr="00676A94">
      <w:rPr>
        <w:rFonts w:ascii="Arial" w:eastAsia="Arial" w:hAnsi="Arial" w:cs="Arial"/>
        <w:b/>
        <w:color w:val="003C8A"/>
        <w:lang w:val="fr-FR" w:bidi="fr-FR"/>
      </w:rPr>
      <w:fldChar w:fldCharType="end"/>
    </w:r>
    <w:r w:rsidRPr="00676A94">
      <w:rPr>
        <w:rFonts w:ascii="Arial" w:eastAsia="Arial" w:hAnsi="Arial" w:cs="Arial"/>
        <w:b/>
        <w:color w:val="003C8A"/>
        <w:lang w:val="fr-FR" w:bidi="fr-FR"/>
      </w:rPr>
      <w:t>/</w:t>
    </w:r>
    <w:r w:rsidR="00716E1A">
      <w:rPr>
        <w:rFonts w:ascii="Arial" w:eastAsia="Arial" w:hAnsi="Arial" w:cs="Arial"/>
        <w:b/>
        <w:noProof/>
        <w:color w:val="003C8A"/>
        <w:lang w:val="fr-FR" w:bidi="fr-FR"/>
      </w:rPr>
      <w:fldChar w:fldCharType="begin"/>
    </w:r>
    <w:r w:rsidR="00716E1A">
      <w:rPr>
        <w:rFonts w:ascii="Arial" w:eastAsia="Arial" w:hAnsi="Arial" w:cs="Arial"/>
        <w:b/>
        <w:noProof/>
        <w:color w:val="003C8A"/>
        <w:lang w:val="fr-FR" w:bidi="fr-FR"/>
      </w:rPr>
      <w:instrText xml:space="preserve"> NUMPAGES   \* MERGEFORMAT </w:instrText>
    </w:r>
    <w:r w:rsidR="00716E1A">
      <w:rPr>
        <w:rFonts w:ascii="Arial" w:eastAsia="Arial" w:hAnsi="Arial" w:cs="Arial"/>
        <w:b/>
        <w:noProof/>
        <w:color w:val="003C8A"/>
        <w:lang w:val="fr-FR" w:bidi="fr-FR"/>
      </w:rPr>
      <w:fldChar w:fldCharType="separate"/>
    </w:r>
    <w:r w:rsidR="00B40A72">
      <w:rPr>
        <w:rFonts w:ascii="Arial" w:eastAsia="Arial" w:hAnsi="Arial" w:cs="Arial"/>
        <w:b/>
        <w:noProof/>
        <w:color w:val="003C8A"/>
        <w:lang w:val="fr-FR" w:bidi="fr-FR"/>
      </w:rPr>
      <w:t>3</w:t>
    </w:r>
    <w:r w:rsidR="00716E1A">
      <w:rPr>
        <w:rFonts w:ascii="Arial" w:eastAsia="Arial" w:hAnsi="Arial" w:cs="Arial"/>
        <w:b/>
        <w:noProof/>
        <w:color w:val="003C8A"/>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59E2" w14:textId="77777777" w:rsidR="00BC43B2" w:rsidRDefault="00BC43B2" w:rsidP="00DC7D80">
      <w:pPr>
        <w:spacing w:after="0" w:line="240" w:lineRule="auto"/>
      </w:pPr>
      <w:r>
        <w:separator/>
      </w:r>
    </w:p>
  </w:footnote>
  <w:footnote w:type="continuationSeparator" w:id="0">
    <w:p w14:paraId="5E569C09" w14:textId="77777777" w:rsidR="00BC43B2" w:rsidRDefault="00BC43B2"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0F3989" w:rsidRPr="003E374B" w14:paraId="742CD3A1" w14:textId="77777777" w:rsidTr="00B92CB3">
      <w:tc>
        <w:tcPr>
          <w:tcW w:w="5172" w:type="dxa"/>
          <w:shd w:val="clear" w:color="auto" w:fill="auto"/>
          <w:vAlign w:val="center"/>
        </w:tcPr>
        <w:p w14:paraId="6036ED08" w14:textId="77777777" w:rsidR="000F3989" w:rsidRPr="008803CE" w:rsidRDefault="000F3989" w:rsidP="00B92CB3">
          <w:pPr>
            <w:pStyle w:val="En-tte"/>
            <w:rPr>
              <w:b/>
              <w:bCs/>
              <w:color w:val="003C8A"/>
            </w:rPr>
          </w:pPr>
          <w:r>
            <w:rPr>
              <w:noProof/>
              <w:color w:val="7F7F7F"/>
              <w:lang w:val="en-US"/>
            </w:rPr>
            <w:drawing>
              <wp:inline distT="0" distB="0" distL="0" distR="0" wp14:anchorId="1379C257" wp14:editId="41212C84">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363040A5" w14:textId="77777777" w:rsidR="000F3989" w:rsidRPr="00774243" w:rsidRDefault="00374971" w:rsidP="00774243">
          <w:pPr>
            <w:pStyle w:val="En-tte"/>
            <w:jc w:val="right"/>
            <w:rPr>
              <w:rFonts w:ascii="Arial" w:hAnsi="Arial" w:cs="Arial"/>
              <w:b/>
              <w:bCs/>
              <w:color w:val="003C8A"/>
            </w:rPr>
          </w:pPr>
          <w:r>
            <w:rPr>
              <w:rFonts w:ascii="Arial" w:eastAsia="Arial" w:hAnsi="Arial" w:cs="Arial"/>
              <w:b/>
              <w:color w:val="003C8A"/>
              <w:sz w:val="28"/>
              <w:szCs w:val="28"/>
              <w:lang w:val="fr-FR" w:bidi="fr-FR"/>
            </w:rPr>
            <w:t>Communiqué de presse</w:t>
          </w:r>
        </w:p>
      </w:tc>
    </w:tr>
  </w:tbl>
  <w:p w14:paraId="76BFB195" w14:textId="77777777" w:rsidR="000F3989" w:rsidRDefault="000F3989">
    <w:pPr>
      <w:pStyle w:val="En-tte"/>
    </w:pPr>
  </w:p>
  <w:p w14:paraId="330CA920" w14:textId="77777777" w:rsidR="000F3989" w:rsidRDefault="000F3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FB"/>
    <w:rsid w:val="00002AE2"/>
    <w:rsid w:val="0000477F"/>
    <w:rsid w:val="000136C0"/>
    <w:rsid w:val="00022999"/>
    <w:rsid w:val="000238AE"/>
    <w:rsid w:val="00050D6B"/>
    <w:rsid w:val="00051889"/>
    <w:rsid w:val="00060FD3"/>
    <w:rsid w:val="00061163"/>
    <w:rsid w:val="000617B1"/>
    <w:rsid w:val="000626FB"/>
    <w:rsid w:val="000671BA"/>
    <w:rsid w:val="00067597"/>
    <w:rsid w:val="000678CC"/>
    <w:rsid w:val="00071C0A"/>
    <w:rsid w:val="0007220D"/>
    <w:rsid w:val="00072483"/>
    <w:rsid w:val="00075D85"/>
    <w:rsid w:val="00086027"/>
    <w:rsid w:val="000A4ADD"/>
    <w:rsid w:val="000B111B"/>
    <w:rsid w:val="000B7608"/>
    <w:rsid w:val="000C604A"/>
    <w:rsid w:val="000D089F"/>
    <w:rsid w:val="000F3989"/>
    <w:rsid w:val="00101DC8"/>
    <w:rsid w:val="00106249"/>
    <w:rsid w:val="001066B8"/>
    <w:rsid w:val="00112E53"/>
    <w:rsid w:val="00123609"/>
    <w:rsid w:val="0013008D"/>
    <w:rsid w:val="00130991"/>
    <w:rsid w:val="00135720"/>
    <w:rsid w:val="00152125"/>
    <w:rsid w:val="001522E2"/>
    <w:rsid w:val="00167982"/>
    <w:rsid w:val="00167CB7"/>
    <w:rsid w:val="00170E22"/>
    <w:rsid w:val="001806F1"/>
    <w:rsid w:val="00187DA1"/>
    <w:rsid w:val="001916F1"/>
    <w:rsid w:val="00196C9F"/>
    <w:rsid w:val="001A0C0A"/>
    <w:rsid w:val="001C0AD6"/>
    <w:rsid w:val="001C21AD"/>
    <w:rsid w:val="001C2DA2"/>
    <w:rsid w:val="001D5E81"/>
    <w:rsid w:val="001E1D55"/>
    <w:rsid w:val="001F301E"/>
    <w:rsid w:val="00202DE4"/>
    <w:rsid w:val="00220EA7"/>
    <w:rsid w:val="0022520C"/>
    <w:rsid w:val="00231101"/>
    <w:rsid w:val="00252B7F"/>
    <w:rsid w:val="0027121F"/>
    <w:rsid w:val="00275154"/>
    <w:rsid w:val="0027674C"/>
    <w:rsid w:val="002C2F68"/>
    <w:rsid w:val="002D1185"/>
    <w:rsid w:val="002D484C"/>
    <w:rsid w:val="002D7909"/>
    <w:rsid w:val="002E394D"/>
    <w:rsid w:val="002F0EB8"/>
    <w:rsid w:val="002F19A8"/>
    <w:rsid w:val="002F45EF"/>
    <w:rsid w:val="00302963"/>
    <w:rsid w:val="003029F6"/>
    <w:rsid w:val="00314D75"/>
    <w:rsid w:val="00317B03"/>
    <w:rsid w:val="00332900"/>
    <w:rsid w:val="00335FD3"/>
    <w:rsid w:val="00336266"/>
    <w:rsid w:val="00357298"/>
    <w:rsid w:val="003671B7"/>
    <w:rsid w:val="003724CC"/>
    <w:rsid w:val="00374971"/>
    <w:rsid w:val="00377ACB"/>
    <w:rsid w:val="0039113E"/>
    <w:rsid w:val="00397A87"/>
    <w:rsid w:val="003A4EF3"/>
    <w:rsid w:val="003B4260"/>
    <w:rsid w:val="003B5FA9"/>
    <w:rsid w:val="003B75E6"/>
    <w:rsid w:val="003C3252"/>
    <w:rsid w:val="003E154C"/>
    <w:rsid w:val="003E332F"/>
    <w:rsid w:val="003F6E2E"/>
    <w:rsid w:val="003F71C8"/>
    <w:rsid w:val="004319A8"/>
    <w:rsid w:val="0043629C"/>
    <w:rsid w:val="00444E82"/>
    <w:rsid w:val="0045433B"/>
    <w:rsid w:val="00460C85"/>
    <w:rsid w:val="004748FD"/>
    <w:rsid w:val="00475BB2"/>
    <w:rsid w:val="00482C27"/>
    <w:rsid w:val="00483D04"/>
    <w:rsid w:val="00487E6A"/>
    <w:rsid w:val="004D345D"/>
    <w:rsid w:val="004E14A2"/>
    <w:rsid w:val="004F7F53"/>
    <w:rsid w:val="00503AAE"/>
    <w:rsid w:val="00513188"/>
    <w:rsid w:val="0054030C"/>
    <w:rsid w:val="005420B2"/>
    <w:rsid w:val="00564B31"/>
    <w:rsid w:val="0056644D"/>
    <w:rsid w:val="00583ED5"/>
    <w:rsid w:val="0059265E"/>
    <w:rsid w:val="00595F6A"/>
    <w:rsid w:val="005A21DC"/>
    <w:rsid w:val="005A23CA"/>
    <w:rsid w:val="005A6FF3"/>
    <w:rsid w:val="005B2058"/>
    <w:rsid w:val="005C0F91"/>
    <w:rsid w:val="005C1783"/>
    <w:rsid w:val="005C46A7"/>
    <w:rsid w:val="005C7D8F"/>
    <w:rsid w:val="005D0BD2"/>
    <w:rsid w:val="005D2750"/>
    <w:rsid w:val="005D3F9B"/>
    <w:rsid w:val="005D42EC"/>
    <w:rsid w:val="005E21E1"/>
    <w:rsid w:val="005E7C8D"/>
    <w:rsid w:val="005F24B8"/>
    <w:rsid w:val="005F6785"/>
    <w:rsid w:val="006027DE"/>
    <w:rsid w:val="00605546"/>
    <w:rsid w:val="0060779A"/>
    <w:rsid w:val="00615111"/>
    <w:rsid w:val="0062511A"/>
    <w:rsid w:val="006322E2"/>
    <w:rsid w:val="00633083"/>
    <w:rsid w:val="00663537"/>
    <w:rsid w:val="0066434B"/>
    <w:rsid w:val="00673B76"/>
    <w:rsid w:val="00676A94"/>
    <w:rsid w:val="00676C35"/>
    <w:rsid w:val="006A0E47"/>
    <w:rsid w:val="006A41DF"/>
    <w:rsid w:val="006A5C37"/>
    <w:rsid w:val="006B440B"/>
    <w:rsid w:val="006E6E70"/>
    <w:rsid w:val="006F4015"/>
    <w:rsid w:val="006F62FB"/>
    <w:rsid w:val="007068D8"/>
    <w:rsid w:val="00716E1A"/>
    <w:rsid w:val="00725418"/>
    <w:rsid w:val="00741A79"/>
    <w:rsid w:val="00742A2C"/>
    <w:rsid w:val="007462C9"/>
    <w:rsid w:val="00747E2D"/>
    <w:rsid w:val="007500A0"/>
    <w:rsid w:val="00750C94"/>
    <w:rsid w:val="00763CFC"/>
    <w:rsid w:val="00766E45"/>
    <w:rsid w:val="00774243"/>
    <w:rsid w:val="007745FA"/>
    <w:rsid w:val="00780DDC"/>
    <w:rsid w:val="00782084"/>
    <w:rsid w:val="00784D58"/>
    <w:rsid w:val="00786E70"/>
    <w:rsid w:val="007C0125"/>
    <w:rsid w:val="007C1265"/>
    <w:rsid w:val="007C267A"/>
    <w:rsid w:val="007F6527"/>
    <w:rsid w:val="00820AA3"/>
    <w:rsid w:val="00821D57"/>
    <w:rsid w:val="00825D0C"/>
    <w:rsid w:val="008604FF"/>
    <w:rsid w:val="00865C12"/>
    <w:rsid w:val="00874E8A"/>
    <w:rsid w:val="008831B1"/>
    <w:rsid w:val="00891CCC"/>
    <w:rsid w:val="00896F81"/>
    <w:rsid w:val="008A4B53"/>
    <w:rsid w:val="008C0C1F"/>
    <w:rsid w:val="008D17F3"/>
    <w:rsid w:val="008D5A4E"/>
    <w:rsid w:val="008E7BFD"/>
    <w:rsid w:val="008F0204"/>
    <w:rsid w:val="008F67DF"/>
    <w:rsid w:val="00900620"/>
    <w:rsid w:val="00906C70"/>
    <w:rsid w:val="0091540D"/>
    <w:rsid w:val="0092188A"/>
    <w:rsid w:val="00924FA7"/>
    <w:rsid w:val="00925BBC"/>
    <w:rsid w:val="0092622A"/>
    <w:rsid w:val="00934A41"/>
    <w:rsid w:val="0093571E"/>
    <w:rsid w:val="009359FD"/>
    <w:rsid w:val="009400B2"/>
    <w:rsid w:val="00940A48"/>
    <w:rsid w:val="0095541A"/>
    <w:rsid w:val="00957168"/>
    <w:rsid w:val="00965255"/>
    <w:rsid w:val="00985A25"/>
    <w:rsid w:val="00993CF4"/>
    <w:rsid w:val="009A5882"/>
    <w:rsid w:val="009A5B72"/>
    <w:rsid w:val="009B7FE8"/>
    <w:rsid w:val="009D13D6"/>
    <w:rsid w:val="009E6174"/>
    <w:rsid w:val="009F6E9C"/>
    <w:rsid w:val="009F7CBB"/>
    <w:rsid w:val="00A11C6A"/>
    <w:rsid w:val="00A2492F"/>
    <w:rsid w:val="00A31F10"/>
    <w:rsid w:val="00A42EE9"/>
    <w:rsid w:val="00A55A0D"/>
    <w:rsid w:val="00A86EB6"/>
    <w:rsid w:val="00A914F9"/>
    <w:rsid w:val="00A96B5A"/>
    <w:rsid w:val="00A96B7C"/>
    <w:rsid w:val="00AC0E38"/>
    <w:rsid w:val="00AC410B"/>
    <w:rsid w:val="00AD00B3"/>
    <w:rsid w:val="00AD5F2E"/>
    <w:rsid w:val="00AD7F85"/>
    <w:rsid w:val="00AE1FBE"/>
    <w:rsid w:val="00AE5E94"/>
    <w:rsid w:val="00AE683C"/>
    <w:rsid w:val="00AF6557"/>
    <w:rsid w:val="00B02200"/>
    <w:rsid w:val="00B16553"/>
    <w:rsid w:val="00B1667B"/>
    <w:rsid w:val="00B168A7"/>
    <w:rsid w:val="00B33B22"/>
    <w:rsid w:val="00B40A72"/>
    <w:rsid w:val="00B53DAB"/>
    <w:rsid w:val="00B64114"/>
    <w:rsid w:val="00B70B15"/>
    <w:rsid w:val="00B775E5"/>
    <w:rsid w:val="00B8581D"/>
    <w:rsid w:val="00B92CB3"/>
    <w:rsid w:val="00B93C8C"/>
    <w:rsid w:val="00BA3EF8"/>
    <w:rsid w:val="00BA509C"/>
    <w:rsid w:val="00BB256B"/>
    <w:rsid w:val="00BB36A8"/>
    <w:rsid w:val="00BC43B2"/>
    <w:rsid w:val="00BC4BE2"/>
    <w:rsid w:val="00BD61A2"/>
    <w:rsid w:val="00BE0958"/>
    <w:rsid w:val="00BE15C5"/>
    <w:rsid w:val="00BF7970"/>
    <w:rsid w:val="00C135A5"/>
    <w:rsid w:val="00C167B6"/>
    <w:rsid w:val="00C40C64"/>
    <w:rsid w:val="00C537DE"/>
    <w:rsid w:val="00C819F1"/>
    <w:rsid w:val="00C962D7"/>
    <w:rsid w:val="00C9702A"/>
    <w:rsid w:val="00CB0A87"/>
    <w:rsid w:val="00CB2ECD"/>
    <w:rsid w:val="00CB62E1"/>
    <w:rsid w:val="00CD4491"/>
    <w:rsid w:val="00CE0F6B"/>
    <w:rsid w:val="00CE1F88"/>
    <w:rsid w:val="00CE2110"/>
    <w:rsid w:val="00CF089A"/>
    <w:rsid w:val="00CF4ED6"/>
    <w:rsid w:val="00CF635E"/>
    <w:rsid w:val="00D176D0"/>
    <w:rsid w:val="00D378C5"/>
    <w:rsid w:val="00D41656"/>
    <w:rsid w:val="00D4200C"/>
    <w:rsid w:val="00D45F16"/>
    <w:rsid w:val="00D53397"/>
    <w:rsid w:val="00D539B0"/>
    <w:rsid w:val="00D73F42"/>
    <w:rsid w:val="00D74F6B"/>
    <w:rsid w:val="00D816C8"/>
    <w:rsid w:val="00D864A5"/>
    <w:rsid w:val="00D86B2E"/>
    <w:rsid w:val="00DB0CB1"/>
    <w:rsid w:val="00DC6B14"/>
    <w:rsid w:val="00DC7D80"/>
    <w:rsid w:val="00DD4BB5"/>
    <w:rsid w:val="00DE111B"/>
    <w:rsid w:val="00DE2C84"/>
    <w:rsid w:val="00E03F36"/>
    <w:rsid w:val="00E10C25"/>
    <w:rsid w:val="00E20225"/>
    <w:rsid w:val="00E31CCD"/>
    <w:rsid w:val="00E343EE"/>
    <w:rsid w:val="00E4673A"/>
    <w:rsid w:val="00E47C9B"/>
    <w:rsid w:val="00E523EF"/>
    <w:rsid w:val="00E72676"/>
    <w:rsid w:val="00E745BC"/>
    <w:rsid w:val="00E85DBB"/>
    <w:rsid w:val="00E87A30"/>
    <w:rsid w:val="00E91318"/>
    <w:rsid w:val="00E977A9"/>
    <w:rsid w:val="00EA27EE"/>
    <w:rsid w:val="00EB7F0F"/>
    <w:rsid w:val="00EC450D"/>
    <w:rsid w:val="00EE0C37"/>
    <w:rsid w:val="00EE234D"/>
    <w:rsid w:val="00EF074F"/>
    <w:rsid w:val="00F13A5A"/>
    <w:rsid w:val="00F17D7F"/>
    <w:rsid w:val="00F22F14"/>
    <w:rsid w:val="00F24451"/>
    <w:rsid w:val="00F24B60"/>
    <w:rsid w:val="00F3708F"/>
    <w:rsid w:val="00F618A2"/>
    <w:rsid w:val="00F63A9A"/>
    <w:rsid w:val="00F70A50"/>
    <w:rsid w:val="00F72CFF"/>
    <w:rsid w:val="00F83873"/>
    <w:rsid w:val="00F8668A"/>
    <w:rsid w:val="00F963C1"/>
    <w:rsid w:val="00FA7DAE"/>
    <w:rsid w:val="00FB2C7E"/>
    <w:rsid w:val="00FB4A7B"/>
    <w:rsid w:val="00FC0281"/>
    <w:rsid w:val="00FD03BD"/>
    <w:rsid w:val="00FD3C2E"/>
    <w:rsid w:val="00FD5EED"/>
    <w:rsid w:val="00FE3A81"/>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FAC7"/>
  <w15:docId w15:val="{51EC5BBF-6F45-4294-89DD-ED5AA9F9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unhideWhenUsed/>
    <w:rsid w:val="00377ACB"/>
    <w:pPr>
      <w:spacing w:line="240" w:lineRule="auto"/>
    </w:pPr>
    <w:rPr>
      <w:sz w:val="20"/>
      <w:szCs w:val="20"/>
    </w:rPr>
  </w:style>
  <w:style w:type="character" w:customStyle="1" w:styleId="CommentaireCar">
    <w:name w:val="Commentaire Car"/>
    <w:basedOn w:val="Policepardfaut"/>
    <w:link w:val="Commentaire"/>
    <w:uiPriority w:val="99"/>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 w:type="character" w:customStyle="1" w:styleId="VerdanaBodyTextChar">
    <w:name w:val="Verdana Body Text Char"/>
    <w:link w:val="VerdanaBodyText"/>
    <w:locked/>
    <w:rsid w:val="003E154C"/>
    <w:rPr>
      <w:rFonts w:ascii="Verdana" w:hAnsi="Verdana"/>
      <w:color w:val="000000"/>
      <w:spacing w:val="2"/>
    </w:rPr>
  </w:style>
  <w:style w:type="paragraph" w:customStyle="1" w:styleId="VerdanaBodyText">
    <w:name w:val="Verdana Body Text"/>
    <w:basedOn w:val="Normal"/>
    <w:link w:val="VerdanaBodyTextChar"/>
    <w:qFormat/>
    <w:rsid w:val="003E154C"/>
    <w:pPr>
      <w:autoSpaceDE w:val="0"/>
      <w:autoSpaceDN w:val="0"/>
      <w:adjustRightInd w:val="0"/>
      <w:spacing w:after="120" w:line="300" w:lineRule="exact"/>
    </w:pPr>
    <w:rPr>
      <w:rFonts w:ascii="Verdana" w:hAnsi="Verdana"/>
      <w:color w:val="000000"/>
      <w:spacing w:val="2"/>
      <w:lang w:val="en-US"/>
    </w:rPr>
  </w:style>
  <w:style w:type="paragraph" w:customStyle="1" w:styleId="Socotexte">
    <w:name w:val="Soco texte"/>
    <w:basedOn w:val="Normal"/>
    <w:link w:val="SocotexteCar"/>
    <w:uiPriority w:val="2"/>
    <w:qFormat/>
    <w:rsid w:val="00AE5E94"/>
    <w:pPr>
      <w:spacing w:after="0"/>
    </w:pPr>
    <w:rPr>
      <w:rFonts w:ascii="Arial" w:hAnsi="Arial" w:cs="Arial"/>
      <w:szCs w:val="24"/>
    </w:rPr>
  </w:style>
  <w:style w:type="character" w:customStyle="1" w:styleId="SocotexteCar">
    <w:name w:val="Soco texte Car"/>
    <w:basedOn w:val="Policepardfaut"/>
    <w:link w:val="Socotexte"/>
    <w:uiPriority w:val="2"/>
    <w:rsid w:val="00AE5E94"/>
    <w:rPr>
      <w:rFonts w:ascii="Arial" w:hAnsi="Arial" w:cs="Arial"/>
      <w:szCs w:val="24"/>
      <w:lang w:val="en-GB"/>
    </w:rPr>
  </w:style>
  <w:style w:type="character" w:customStyle="1" w:styleId="UnresolvedMention1">
    <w:name w:val="Unresolved Mention1"/>
    <w:basedOn w:val="Policepardfaut"/>
    <w:uiPriority w:val="99"/>
    <w:semiHidden/>
    <w:unhideWhenUsed/>
    <w:rsid w:val="003C3252"/>
    <w:rPr>
      <w:color w:val="605E5C"/>
      <w:shd w:val="clear" w:color="auto" w:fill="E1DFDD"/>
    </w:rPr>
  </w:style>
  <w:style w:type="paragraph" w:styleId="NormalWeb">
    <w:name w:val="Normal (Web)"/>
    <w:basedOn w:val="Normal"/>
    <w:uiPriority w:val="99"/>
    <w:semiHidden/>
    <w:unhideWhenUsed/>
    <w:rsid w:val="003C3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671B7"/>
    <w:pPr>
      <w:autoSpaceDE w:val="0"/>
      <w:autoSpaceDN w:val="0"/>
      <w:adjustRightInd w:val="0"/>
      <w:spacing w:after="0" w:line="240" w:lineRule="auto"/>
    </w:pPr>
    <w:rPr>
      <w:rFonts w:ascii="Calibri" w:hAnsi="Calibri" w:cs="Calibri"/>
      <w:color w:val="000000"/>
      <w:sz w:val="24"/>
      <w:szCs w:val="24"/>
      <w:lang w:val="en-GB"/>
    </w:rPr>
  </w:style>
  <w:style w:type="paragraph" w:styleId="Rvision">
    <w:name w:val="Revision"/>
    <w:hidden/>
    <w:uiPriority w:val="99"/>
    <w:semiHidden/>
    <w:rsid w:val="005F24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717">
      <w:bodyDiv w:val="1"/>
      <w:marLeft w:val="0"/>
      <w:marRight w:val="0"/>
      <w:marTop w:val="0"/>
      <w:marBottom w:val="0"/>
      <w:divBdr>
        <w:top w:val="none" w:sz="0" w:space="0" w:color="auto"/>
        <w:left w:val="none" w:sz="0" w:space="0" w:color="auto"/>
        <w:bottom w:val="none" w:sz="0" w:space="0" w:color="auto"/>
        <w:right w:val="none" w:sz="0" w:space="0" w:color="auto"/>
      </w:divBdr>
    </w:div>
    <w:div w:id="89742787">
      <w:bodyDiv w:val="1"/>
      <w:marLeft w:val="0"/>
      <w:marRight w:val="0"/>
      <w:marTop w:val="0"/>
      <w:marBottom w:val="0"/>
      <w:divBdr>
        <w:top w:val="none" w:sz="0" w:space="0" w:color="auto"/>
        <w:left w:val="none" w:sz="0" w:space="0" w:color="auto"/>
        <w:bottom w:val="none" w:sz="0" w:space="0" w:color="auto"/>
        <w:right w:val="none" w:sz="0" w:space="0" w:color="auto"/>
      </w:divBdr>
    </w:div>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590743287">
      <w:bodyDiv w:val="1"/>
      <w:marLeft w:val="0"/>
      <w:marRight w:val="0"/>
      <w:marTop w:val="0"/>
      <w:marBottom w:val="0"/>
      <w:divBdr>
        <w:top w:val="none" w:sz="0" w:space="0" w:color="auto"/>
        <w:left w:val="none" w:sz="0" w:space="0" w:color="auto"/>
        <w:bottom w:val="none" w:sz="0" w:space="0" w:color="auto"/>
        <w:right w:val="none" w:sz="0" w:space="0" w:color="auto"/>
      </w:divBdr>
    </w:div>
    <w:div w:id="757873907">
      <w:bodyDiv w:val="1"/>
      <w:marLeft w:val="0"/>
      <w:marRight w:val="0"/>
      <w:marTop w:val="0"/>
      <w:marBottom w:val="0"/>
      <w:divBdr>
        <w:top w:val="none" w:sz="0" w:space="0" w:color="auto"/>
        <w:left w:val="none" w:sz="0" w:space="0" w:color="auto"/>
        <w:bottom w:val="none" w:sz="0" w:space="0" w:color="auto"/>
        <w:right w:val="none" w:sz="0" w:space="0" w:color="auto"/>
      </w:divBdr>
    </w:div>
    <w:div w:id="920064242">
      <w:bodyDiv w:val="1"/>
      <w:marLeft w:val="0"/>
      <w:marRight w:val="0"/>
      <w:marTop w:val="0"/>
      <w:marBottom w:val="0"/>
      <w:divBdr>
        <w:top w:val="none" w:sz="0" w:space="0" w:color="auto"/>
        <w:left w:val="none" w:sz="0" w:space="0" w:color="auto"/>
        <w:bottom w:val="none" w:sz="0" w:space="0" w:color="auto"/>
        <w:right w:val="none" w:sz="0" w:space="0" w:color="auto"/>
      </w:divBdr>
    </w:div>
    <w:div w:id="1042748221">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491562200">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1764303438">
      <w:bodyDiv w:val="1"/>
      <w:marLeft w:val="0"/>
      <w:marRight w:val="0"/>
      <w:marTop w:val="0"/>
      <w:marBottom w:val="0"/>
      <w:divBdr>
        <w:top w:val="none" w:sz="0" w:space="0" w:color="auto"/>
        <w:left w:val="none" w:sz="0" w:space="0" w:color="auto"/>
        <w:bottom w:val="none" w:sz="0" w:space="0" w:color="auto"/>
        <w:right w:val="none" w:sz="0" w:space="0" w:color="auto"/>
      </w:divBdr>
    </w:div>
    <w:div w:id="1772778639">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 w:id="204717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comec.co.fr" TargetMode="External"/><Relationship Id="rId4" Type="http://schemas.openxmlformats.org/officeDocument/2006/relationships/settings" Target="settings.xml"/><Relationship Id="rId9" Type="http://schemas.openxmlformats.org/officeDocument/2006/relationships/hyperlink" Target="mailto:XXXXXXXXX@socom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9556-8DEF-44BF-8890-E71A6B0E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3</Pages>
  <Words>1209</Words>
  <Characters>6892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MACAUX Dany</dc:creator>
  <cp:lastModifiedBy>HOUOT Floriane</cp:lastModifiedBy>
  <cp:revision>9</cp:revision>
  <cp:lastPrinted>2019-01-07T16:34:00Z</cp:lastPrinted>
  <dcterms:created xsi:type="dcterms:W3CDTF">2023-01-10T15:26:00Z</dcterms:created>
  <dcterms:modified xsi:type="dcterms:W3CDTF">2023-02-07T13:24:00Z</dcterms:modified>
</cp:coreProperties>
</file>